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D600" w14:textId="55E50781" w:rsidR="00A10C12" w:rsidRDefault="00EE72F1" w:rsidP="00DB0A84">
      <w:pPr>
        <w:tabs>
          <w:tab w:val="right" w:pos="10670"/>
        </w:tabs>
      </w:pPr>
      <w:bookmarkStart w:id="0" w:name="_GoBack"/>
      <w:bookmarkEnd w:id="0"/>
      <w:r>
        <w:rPr>
          <w:noProof/>
        </w:rPr>
        <w:drawing>
          <wp:anchor distT="0" distB="0" distL="114300" distR="114300" simplePos="0" relativeHeight="251660288" behindDoc="0" locked="1" layoutInCell="1" allowOverlap="1" wp14:anchorId="103A4F20" wp14:editId="106DE3B3">
            <wp:simplePos x="0" y="0"/>
            <wp:positionH relativeFrom="column">
              <wp:posOffset>76346</wp:posOffset>
            </wp:positionH>
            <wp:positionV relativeFrom="page">
              <wp:posOffset>201295</wp:posOffset>
            </wp:positionV>
            <wp:extent cx="2066544" cy="768096"/>
            <wp:effectExtent l="0" t="0" r="0" b="0"/>
            <wp:wrapNone/>
            <wp:docPr id="3" name="Picture 3" descr="http://ktec.kusd.edu/wp-content/uploads/2012/02/Carthage-Logo-as-of-March-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tec.kusd.edu/wp-content/uploads/2012/02/Carthage-Logo-as-of-March-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54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84">
        <w:tab/>
      </w:r>
    </w:p>
    <w:p w14:paraId="31EED601" w14:textId="77777777" w:rsidR="00657855" w:rsidRDefault="00A10C12" w:rsidP="005A117B">
      <w:pPr>
        <w:tabs>
          <w:tab w:val="right" w:pos="10620"/>
        </w:tabs>
        <w:rPr>
          <w:rFonts w:ascii="Arial" w:hAnsi="Arial" w:cs="Arial"/>
          <w:sz w:val="28"/>
          <w:szCs w:val="28"/>
        </w:rPr>
      </w:pPr>
      <w:r>
        <w:tab/>
      </w:r>
      <w:r w:rsidR="00657855">
        <w:rPr>
          <w:rFonts w:ascii="Arial" w:hAnsi="Arial" w:cs="Arial"/>
          <w:sz w:val="20"/>
          <w:szCs w:val="20"/>
        </w:rPr>
        <w:t>Institutional Review Board</w:t>
      </w:r>
      <w:r w:rsidR="005A117B">
        <w:rPr>
          <w:rFonts w:ascii="Arial" w:hAnsi="Arial" w:cs="Arial"/>
          <w:sz w:val="28"/>
          <w:szCs w:val="28"/>
        </w:rPr>
        <w:t xml:space="preserve"> </w:t>
      </w:r>
    </w:p>
    <w:p w14:paraId="31EED602" w14:textId="6A87F42F" w:rsidR="00E55B55" w:rsidRPr="008F2316" w:rsidRDefault="00657855" w:rsidP="00FB797F">
      <w:pPr>
        <w:tabs>
          <w:tab w:val="right" w:pos="10620"/>
        </w:tabs>
        <w:rPr>
          <w:rFonts w:ascii="Arial" w:hAnsi="Arial" w:cs="Arial"/>
          <w:sz w:val="28"/>
          <w:szCs w:val="28"/>
        </w:rPr>
      </w:pPr>
      <w:r>
        <w:rPr>
          <w:rFonts w:ascii="Arial" w:hAnsi="Arial" w:cs="Arial"/>
          <w:sz w:val="20"/>
          <w:szCs w:val="20"/>
        </w:rPr>
        <w:tab/>
      </w:r>
      <w:r w:rsidR="00FB797F">
        <w:rPr>
          <w:rFonts w:ascii="Arial" w:hAnsi="Arial" w:cs="Arial"/>
          <w:sz w:val="28"/>
          <w:szCs w:val="28"/>
        </w:rPr>
        <w:t>Exemption Guidelines</w:t>
      </w:r>
    </w:p>
    <w:p w14:paraId="31EED603" w14:textId="77777777" w:rsidR="005C1375" w:rsidRPr="00657855" w:rsidRDefault="00A10C12" w:rsidP="00657855">
      <w:pPr>
        <w:tabs>
          <w:tab w:val="right" w:pos="10670"/>
        </w:tabs>
        <w:rPr>
          <w:rFonts w:ascii="Myriad Roman" w:hAnsi="Myriad Roman"/>
          <w:sz w:val="32"/>
          <w:szCs w:val="32"/>
        </w:rPr>
      </w:pPr>
      <w:r>
        <w:rPr>
          <w:rFonts w:ascii="Myriad Roman" w:hAnsi="Myriad Roman"/>
          <w:sz w:val="32"/>
          <w:szCs w:val="32"/>
        </w:rPr>
        <w:tab/>
      </w:r>
      <w:r w:rsidR="00C84DB2">
        <w:rPr>
          <w:rFonts w:ascii="Arial" w:hAnsi="Arial" w:cs="Arial"/>
          <w:noProof/>
          <w:sz w:val="20"/>
          <w:szCs w:val="20"/>
        </w:rPr>
        <mc:AlternateContent>
          <mc:Choice Requires="wps">
            <w:drawing>
              <wp:anchor distT="0" distB="0" distL="114300" distR="114300" simplePos="0" relativeHeight="251656704" behindDoc="0" locked="0" layoutInCell="1" allowOverlap="1" wp14:anchorId="31EED67E" wp14:editId="31EED67F">
                <wp:simplePos x="0" y="0"/>
                <wp:positionH relativeFrom="column">
                  <wp:posOffset>-109220</wp:posOffset>
                </wp:positionH>
                <wp:positionV relativeFrom="page">
                  <wp:posOffset>1107440</wp:posOffset>
                </wp:positionV>
                <wp:extent cx="6899910" cy="0"/>
                <wp:effectExtent l="24130" t="21590" r="19685" b="260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998FC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87.2pt" to="534.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zZ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" strokeweight="3pt">
                <w10:wrap anchory="page"/>
              </v:line>
            </w:pict>
          </mc:Fallback>
        </mc:AlternateContent>
      </w:r>
    </w:p>
    <w:p w14:paraId="5E47BB39" w14:textId="77777777" w:rsidR="00FB797F" w:rsidRDefault="00FB797F" w:rsidP="00FB797F">
      <w:pPr>
        <w:tabs>
          <w:tab w:val="left" w:pos="720"/>
          <w:tab w:val="left" w:pos="1080"/>
        </w:tabs>
        <w:rPr>
          <w:b/>
        </w:rPr>
      </w:pPr>
    </w:p>
    <w:p w14:paraId="333FE278" w14:textId="6E87E898" w:rsidR="00FB797F" w:rsidRPr="007F2364" w:rsidRDefault="006A3290" w:rsidP="00251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The Office of Human Research Protections (OHRP) </w:t>
      </w:r>
      <w:r w:rsidR="00251E29">
        <w:rPr>
          <w:sz w:val="20"/>
        </w:rPr>
        <w:t>stipulates</w:t>
      </w:r>
      <w:r>
        <w:rPr>
          <w:sz w:val="20"/>
        </w:rPr>
        <w:t xml:space="preserve"> that r</w:t>
      </w:r>
      <w:r w:rsidR="00FB797F" w:rsidRPr="007F2364">
        <w:rPr>
          <w:sz w:val="20"/>
        </w:rPr>
        <w:t xml:space="preserve">esearch investigators </w:t>
      </w:r>
      <w:r w:rsidR="00251E29">
        <w:rPr>
          <w:sz w:val="20"/>
        </w:rPr>
        <w:t xml:space="preserve">do </w:t>
      </w:r>
      <w:r>
        <w:rPr>
          <w:sz w:val="20"/>
        </w:rPr>
        <w:t>not have the authority to</w:t>
      </w:r>
      <w:r w:rsidR="00F44B8A">
        <w:rPr>
          <w:sz w:val="20"/>
        </w:rPr>
        <w:t xml:space="preserve"> </w:t>
      </w:r>
      <w:r>
        <w:rPr>
          <w:sz w:val="20"/>
        </w:rPr>
        <w:t>make an independent</w:t>
      </w:r>
      <w:r w:rsidR="00FB797F" w:rsidRPr="007F2364">
        <w:rPr>
          <w:sz w:val="20"/>
        </w:rPr>
        <w:t xml:space="preserve"> determination as to whether the proposed human subjects research activity is exempt from IRB review.</w:t>
      </w:r>
      <w:r w:rsidR="007F2364" w:rsidRPr="007F2364">
        <w:rPr>
          <w:sz w:val="20"/>
        </w:rPr>
        <w:t xml:space="preserve"> </w:t>
      </w:r>
      <w:r>
        <w:rPr>
          <w:sz w:val="20"/>
        </w:rPr>
        <w:t>Instead, OHRP</w:t>
      </w:r>
      <w:r w:rsidR="00251576">
        <w:rPr>
          <w:sz w:val="20"/>
        </w:rPr>
        <w:t xml:space="preserve"> recommends that each institution’s</w:t>
      </w:r>
      <w:r w:rsidR="00251576" w:rsidRPr="007F2364">
        <w:rPr>
          <w:sz w:val="20"/>
        </w:rPr>
        <w:t xml:space="preserve"> IRB </w:t>
      </w:r>
      <w:r w:rsidR="00251576">
        <w:rPr>
          <w:sz w:val="20"/>
        </w:rPr>
        <w:t>be</w:t>
      </w:r>
      <w:r w:rsidR="00251576" w:rsidRPr="007F2364">
        <w:rPr>
          <w:sz w:val="20"/>
        </w:rPr>
        <w:t xml:space="preserve"> responsible for reviewing </w:t>
      </w:r>
      <w:r w:rsidR="00251576">
        <w:rPr>
          <w:sz w:val="20"/>
        </w:rPr>
        <w:t>researcher’s proposal</w:t>
      </w:r>
      <w:r>
        <w:rPr>
          <w:sz w:val="20"/>
        </w:rPr>
        <w:t>s</w:t>
      </w:r>
      <w:r w:rsidR="00251576">
        <w:rPr>
          <w:sz w:val="20"/>
        </w:rPr>
        <w:t xml:space="preserve"> </w:t>
      </w:r>
      <w:r w:rsidR="00251576" w:rsidRPr="007F2364">
        <w:rPr>
          <w:sz w:val="20"/>
        </w:rPr>
        <w:t xml:space="preserve">and for making </w:t>
      </w:r>
      <w:r w:rsidR="00251576">
        <w:rPr>
          <w:sz w:val="20"/>
        </w:rPr>
        <w:t>the</w:t>
      </w:r>
      <w:r w:rsidR="00251576" w:rsidRPr="007F2364">
        <w:rPr>
          <w:sz w:val="20"/>
        </w:rPr>
        <w:t xml:space="preserve"> institutional determination of whether research activities qualify for exemption from coverage under the Federal guidelines.</w:t>
      </w:r>
      <w:r w:rsidR="00251576">
        <w:rPr>
          <w:sz w:val="20"/>
        </w:rPr>
        <w:t xml:space="preserve"> </w:t>
      </w:r>
      <w:r w:rsidR="00026C62">
        <w:rPr>
          <w:sz w:val="20"/>
        </w:rPr>
        <w:t xml:space="preserve">However, if </w:t>
      </w:r>
      <w:r w:rsidR="00251576">
        <w:rPr>
          <w:sz w:val="20"/>
        </w:rPr>
        <w:t>a researcher</w:t>
      </w:r>
      <w:r w:rsidR="00026C62">
        <w:rPr>
          <w:sz w:val="20"/>
        </w:rPr>
        <w:t xml:space="preserve"> believe</w:t>
      </w:r>
      <w:r w:rsidR="00251576">
        <w:rPr>
          <w:sz w:val="20"/>
        </w:rPr>
        <w:t>s that</w:t>
      </w:r>
      <w:r w:rsidR="00026C62">
        <w:rPr>
          <w:sz w:val="20"/>
        </w:rPr>
        <w:t xml:space="preserve"> a project qualifies as “exempt”, they should </w:t>
      </w:r>
      <w:r w:rsidR="007F2364" w:rsidRPr="007F2364">
        <w:rPr>
          <w:sz w:val="20"/>
        </w:rPr>
        <w:t>c</w:t>
      </w:r>
      <w:r w:rsidR="00FB797F" w:rsidRPr="007F2364">
        <w:rPr>
          <w:sz w:val="20"/>
        </w:rPr>
        <w:t xml:space="preserve">omplete </w:t>
      </w:r>
      <w:r w:rsidR="0030041C">
        <w:rPr>
          <w:sz w:val="20"/>
        </w:rPr>
        <w:t>the standard</w:t>
      </w:r>
      <w:r w:rsidR="00FB797F" w:rsidRPr="007F2364">
        <w:rPr>
          <w:sz w:val="20"/>
        </w:rPr>
        <w:t xml:space="preserve"> Research Project Application, indicating </w:t>
      </w:r>
      <w:r w:rsidR="005F4022">
        <w:rPr>
          <w:sz w:val="20"/>
        </w:rPr>
        <w:t xml:space="preserve">and </w:t>
      </w:r>
      <w:r w:rsidR="00251576">
        <w:rPr>
          <w:sz w:val="20"/>
        </w:rPr>
        <w:t xml:space="preserve">providing an explanation for the relevant </w:t>
      </w:r>
      <w:r w:rsidR="00FB797F" w:rsidRPr="007F2364">
        <w:rPr>
          <w:sz w:val="20"/>
        </w:rPr>
        <w:t>exemption</w:t>
      </w:r>
      <w:r w:rsidR="00026C62">
        <w:rPr>
          <w:sz w:val="20"/>
        </w:rPr>
        <w:t xml:space="preserve"> criterion</w:t>
      </w:r>
      <w:r w:rsidR="00251576">
        <w:rPr>
          <w:sz w:val="20"/>
        </w:rPr>
        <w:t xml:space="preserve"> </w:t>
      </w:r>
      <w:r w:rsidR="00251576" w:rsidRPr="007F2364">
        <w:rPr>
          <w:sz w:val="20"/>
        </w:rPr>
        <w:t>(see Table below)</w:t>
      </w:r>
      <w:r w:rsidR="00251576">
        <w:rPr>
          <w:sz w:val="20"/>
        </w:rPr>
        <w:t xml:space="preserve">.  </w:t>
      </w:r>
      <w:r w:rsidR="00634EB4">
        <w:rPr>
          <w:sz w:val="20"/>
        </w:rPr>
        <w:t>Please note: exempt from review does not mean that you are not conducti</w:t>
      </w:r>
      <w:r w:rsidR="00026C62">
        <w:rPr>
          <w:sz w:val="20"/>
        </w:rPr>
        <w:t>ng</w:t>
      </w:r>
      <w:r w:rsidR="00634EB4">
        <w:rPr>
          <w:sz w:val="20"/>
        </w:rPr>
        <w:t xml:space="preserve"> research.  “Not research” is a separate category of activity.</w:t>
      </w:r>
    </w:p>
    <w:p w14:paraId="6230137E" w14:textId="77777777" w:rsidR="00FB797F" w:rsidRPr="007F2364" w:rsidRDefault="00FB797F" w:rsidP="00FB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2EC4E0BC" w14:textId="35F50ABF" w:rsidR="00FB797F" w:rsidRPr="00D36B39" w:rsidRDefault="00FB797F" w:rsidP="007F236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D36B39">
        <w:rPr>
          <w:sz w:val="18"/>
          <w:szCs w:val="18"/>
        </w:rPr>
        <w:t>Documentation of research activities that qualify for exemption will be kept on file in the Carthage College IRB.</w:t>
      </w:r>
    </w:p>
    <w:p w14:paraId="4C97BEC8" w14:textId="20862917" w:rsidR="00FB797F" w:rsidRPr="00D36B39" w:rsidRDefault="00FB797F" w:rsidP="007F236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ectionhead1"/>
          <w:rFonts w:ascii="Tahoma" w:hAnsi="Tahoma"/>
          <w:b w:val="0"/>
          <w:bCs w:val="0"/>
          <w:caps w:val="0"/>
        </w:rPr>
      </w:pPr>
      <w:r w:rsidRPr="00D36B39">
        <w:rPr>
          <w:sz w:val="18"/>
          <w:szCs w:val="18"/>
        </w:rPr>
        <w:t xml:space="preserve">Documentation of research activities that are determined not to be exempt will be returned to the investigator for </w:t>
      </w:r>
      <w:r w:rsidR="00026C62">
        <w:rPr>
          <w:sz w:val="18"/>
          <w:szCs w:val="18"/>
        </w:rPr>
        <w:t>revision.</w:t>
      </w:r>
    </w:p>
    <w:p w14:paraId="3BCA5904" w14:textId="22C38726" w:rsidR="00FB797F" w:rsidRDefault="00FB797F" w:rsidP="002A7CA7">
      <w:pPr>
        <w:tabs>
          <w:tab w:val="left" w:pos="720"/>
          <w:tab w:val="left" w:pos="1080"/>
        </w:tabs>
        <w:rPr>
          <w:rStyle w:val="sectionhead1"/>
          <w:rFonts w:ascii="Times New Roman" w:hAnsi="Times New Roman"/>
        </w:rPr>
      </w:pPr>
    </w:p>
    <w:p w14:paraId="6C636FEE" w14:textId="77777777" w:rsidR="00024125" w:rsidRDefault="00024125"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A2AC8" w:rsidRPr="00E67848" w14:paraId="27755C0E" w14:textId="77777777" w:rsidTr="0038411D">
        <w:tc>
          <w:tcPr>
            <w:tcW w:w="9355" w:type="dxa"/>
            <w:shd w:val="clear" w:color="auto" w:fill="D9D9D9"/>
          </w:tcPr>
          <w:p w14:paraId="4942EC70" w14:textId="77777777" w:rsidR="00AA2AC8" w:rsidRPr="00E67848" w:rsidRDefault="00AA2AC8" w:rsidP="001B29DC">
            <w:pPr>
              <w:jc w:val="center"/>
              <w:rPr>
                <w:rFonts w:ascii="Arial" w:hAnsi="Arial" w:cs="Arial"/>
                <w:b/>
                <w:sz w:val="20"/>
                <w:szCs w:val="20"/>
              </w:rPr>
            </w:pPr>
            <w:r>
              <w:rPr>
                <w:rFonts w:ascii="Arial" w:hAnsi="Arial" w:cs="Arial"/>
                <w:b/>
                <w:sz w:val="20"/>
                <w:szCs w:val="20"/>
              </w:rPr>
              <w:t xml:space="preserve">TABLE OF CRITERIA </w:t>
            </w:r>
            <w:r w:rsidRPr="00E67848">
              <w:rPr>
                <w:rFonts w:ascii="Arial" w:hAnsi="Arial" w:cs="Arial"/>
                <w:b/>
                <w:sz w:val="20"/>
                <w:szCs w:val="20"/>
              </w:rPr>
              <w:t>FOR EXEMPT PROJECTS</w:t>
            </w:r>
            <w:r>
              <w:rPr>
                <w:rFonts w:ascii="Arial" w:hAnsi="Arial" w:cs="Arial"/>
                <w:b/>
                <w:sz w:val="20"/>
                <w:szCs w:val="20"/>
              </w:rPr>
              <w:t xml:space="preserve"> WITH ABBREVIATED DESCRIPTIONS</w:t>
            </w:r>
          </w:p>
        </w:tc>
      </w:tr>
    </w:tbl>
    <w:tbl>
      <w:tblPr>
        <w:tblStyle w:val="TableGrid1"/>
        <w:tblpPr w:leftFromText="180" w:rightFromText="180" w:vertAnchor="text" w:horzAnchor="margin" w:tblpXSpec="center" w:tblpY="17"/>
        <w:tblW w:w="0" w:type="auto"/>
        <w:tblLook w:val="04A0" w:firstRow="1" w:lastRow="0" w:firstColumn="1" w:lastColumn="0" w:noHBand="0" w:noVBand="1"/>
      </w:tblPr>
      <w:tblGrid>
        <w:gridCol w:w="783"/>
        <w:gridCol w:w="1318"/>
        <w:gridCol w:w="1182"/>
        <w:gridCol w:w="6065"/>
      </w:tblGrid>
      <w:tr w:rsidR="0038411D" w:rsidRPr="00702BD6" w14:paraId="6A000D2C" w14:textId="77777777" w:rsidTr="0038411D">
        <w:tc>
          <w:tcPr>
            <w:tcW w:w="783" w:type="dxa"/>
          </w:tcPr>
          <w:p w14:paraId="7490AA3B" w14:textId="77777777" w:rsidR="0038411D" w:rsidRPr="00702BD6" w:rsidRDefault="0038411D" w:rsidP="0038411D">
            <w:pPr>
              <w:jc w:val="center"/>
              <w:rPr>
                <w:rFonts w:ascii="Times New Roman" w:hAnsi="Times New Roman" w:cs="Times New Roman"/>
                <w:i/>
                <w:sz w:val="20"/>
                <w:szCs w:val="20"/>
              </w:rPr>
            </w:pPr>
            <w:r w:rsidRPr="00702BD6">
              <w:rPr>
                <w:rFonts w:ascii="Times New Roman" w:hAnsi="Times New Roman" w:cs="Times New Roman"/>
                <w:i/>
                <w:sz w:val="20"/>
                <w:szCs w:val="20"/>
              </w:rPr>
              <w:t>(Check here)</w:t>
            </w:r>
          </w:p>
        </w:tc>
        <w:tc>
          <w:tcPr>
            <w:tcW w:w="1318" w:type="dxa"/>
          </w:tcPr>
          <w:p w14:paraId="6CDF80E9"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Exempt Category</w:t>
            </w:r>
          </w:p>
        </w:tc>
        <w:tc>
          <w:tcPr>
            <w:tcW w:w="1182" w:type="dxa"/>
          </w:tcPr>
          <w:p w14:paraId="55615591" w14:textId="77777777" w:rsidR="0038411D" w:rsidRPr="00702BD6" w:rsidRDefault="0038411D" w:rsidP="0038411D">
            <w:pPr>
              <w:jc w:val="center"/>
              <w:rPr>
                <w:rFonts w:ascii="Times New Roman" w:hAnsi="Times New Roman" w:cs="Times New Roman"/>
              </w:rPr>
            </w:pPr>
            <w:proofErr w:type="spellStart"/>
            <w:r w:rsidRPr="00702BD6">
              <w:rPr>
                <w:rFonts w:ascii="Times New Roman" w:hAnsi="Times New Roman" w:cs="Times New Roman"/>
              </w:rPr>
              <w:t>Subcriteria</w:t>
            </w:r>
            <w:proofErr w:type="spellEnd"/>
          </w:p>
        </w:tc>
        <w:tc>
          <w:tcPr>
            <w:tcW w:w="6065" w:type="dxa"/>
          </w:tcPr>
          <w:p w14:paraId="121C7D4F"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Abbreviated Description</w:t>
            </w:r>
            <w:r>
              <w:rPr>
                <w:rFonts w:ascii="Times New Roman" w:hAnsi="Times New Roman" w:cs="Times New Roman"/>
              </w:rPr>
              <w:t>*</w:t>
            </w:r>
          </w:p>
        </w:tc>
      </w:tr>
      <w:tr w:rsidR="0038411D" w:rsidRPr="00702BD6" w14:paraId="4E17D233" w14:textId="77777777" w:rsidTr="0038411D">
        <w:sdt>
          <w:sdtPr>
            <w:rPr>
              <w:rFonts w:ascii="Calibri" w:hAnsi="Calibri"/>
            </w:rPr>
            <w:id w:val="1085957968"/>
            <w14:checkbox>
              <w14:checked w14:val="0"/>
              <w14:checkedState w14:val="2612" w14:font="MS Gothic"/>
              <w14:uncheckedState w14:val="2610" w14:font="MS Gothic"/>
            </w14:checkbox>
          </w:sdtPr>
          <w:sdtEndPr/>
          <w:sdtContent>
            <w:tc>
              <w:tcPr>
                <w:tcW w:w="783" w:type="dxa"/>
              </w:tcPr>
              <w:p w14:paraId="1F064A25"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4F573C44"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1</w:t>
            </w:r>
          </w:p>
        </w:tc>
        <w:tc>
          <w:tcPr>
            <w:tcW w:w="1182" w:type="dxa"/>
          </w:tcPr>
          <w:p w14:paraId="60AFD9D6"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w:t>
            </w:r>
          </w:p>
        </w:tc>
        <w:tc>
          <w:tcPr>
            <w:tcW w:w="6065" w:type="dxa"/>
          </w:tcPr>
          <w:p w14:paraId="5544DE7A"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Educational practices</w:t>
            </w:r>
          </w:p>
        </w:tc>
      </w:tr>
      <w:tr w:rsidR="0038411D" w:rsidRPr="00702BD6" w14:paraId="7E35DCB8" w14:textId="77777777" w:rsidTr="0038411D">
        <w:sdt>
          <w:sdtPr>
            <w:rPr>
              <w:rFonts w:ascii="Calibri" w:hAnsi="Calibri"/>
            </w:rPr>
            <w:id w:val="-44606990"/>
            <w14:checkbox>
              <w14:checked w14:val="0"/>
              <w14:checkedState w14:val="2612" w14:font="MS Gothic"/>
              <w14:uncheckedState w14:val="2610" w14:font="MS Gothic"/>
            </w14:checkbox>
          </w:sdtPr>
          <w:sdtEndPr/>
          <w:sdtContent>
            <w:tc>
              <w:tcPr>
                <w:tcW w:w="783" w:type="dxa"/>
              </w:tcPr>
              <w:p w14:paraId="02E7CD3E"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11B9676B"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2</w:t>
            </w:r>
          </w:p>
        </w:tc>
        <w:tc>
          <w:tcPr>
            <w:tcW w:w="1182" w:type="dxa"/>
          </w:tcPr>
          <w:p w14:paraId="10C12794" w14:textId="77777777" w:rsidR="0038411D" w:rsidRPr="00702BD6" w:rsidRDefault="0038411D" w:rsidP="0038411D">
            <w:pPr>
              <w:jc w:val="center"/>
              <w:rPr>
                <w:rFonts w:ascii="Times New Roman" w:hAnsi="Times New Roman" w:cs="Times New Roman"/>
              </w:rPr>
            </w:pPr>
            <w:proofErr w:type="spellStart"/>
            <w:r w:rsidRPr="00702BD6">
              <w:rPr>
                <w:rFonts w:ascii="Times New Roman" w:hAnsi="Times New Roman" w:cs="Times New Roman"/>
              </w:rPr>
              <w:t>i</w:t>
            </w:r>
            <w:proofErr w:type="spellEnd"/>
          </w:p>
        </w:tc>
        <w:tc>
          <w:tcPr>
            <w:tcW w:w="6065" w:type="dxa"/>
          </w:tcPr>
          <w:p w14:paraId="5D18099E"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Tests, surveys, or observation of public behavior, </w:t>
            </w:r>
            <w:r w:rsidRPr="00702BD6">
              <w:rPr>
                <w:rFonts w:ascii="Times New Roman" w:hAnsi="Times New Roman" w:cs="Times New Roman"/>
                <w:i/>
              </w:rPr>
              <w:t>no</w:t>
            </w:r>
            <w:r w:rsidRPr="00702BD6">
              <w:rPr>
                <w:rFonts w:ascii="Times New Roman" w:hAnsi="Times New Roman" w:cs="Times New Roman"/>
              </w:rPr>
              <w:t xml:space="preserve"> identifiers</w:t>
            </w:r>
          </w:p>
        </w:tc>
      </w:tr>
      <w:tr w:rsidR="0038411D" w:rsidRPr="00702BD6" w14:paraId="32603F10" w14:textId="77777777" w:rsidTr="0038411D">
        <w:sdt>
          <w:sdtPr>
            <w:rPr>
              <w:rFonts w:ascii="Calibri" w:hAnsi="Calibri"/>
            </w:rPr>
            <w:id w:val="-2111499723"/>
            <w14:checkbox>
              <w14:checked w14:val="0"/>
              <w14:checkedState w14:val="2612" w14:font="MS Gothic"/>
              <w14:uncheckedState w14:val="2610" w14:font="MS Gothic"/>
            </w14:checkbox>
          </w:sdtPr>
          <w:sdtEndPr/>
          <w:sdtContent>
            <w:tc>
              <w:tcPr>
                <w:tcW w:w="783" w:type="dxa"/>
              </w:tcPr>
              <w:p w14:paraId="73617561"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7CE0F1DC"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2</w:t>
            </w:r>
          </w:p>
        </w:tc>
        <w:tc>
          <w:tcPr>
            <w:tcW w:w="1182" w:type="dxa"/>
          </w:tcPr>
          <w:p w14:paraId="5CAB8D37"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ii</w:t>
            </w:r>
          </w:p>
        </w:tc>
        <w:tc>
          <w:tcPr>
            <w:tcW w:w="6065" w:type="dxa"/>
          </w:tcPr>
          <w:p w14:paraId="3C556068"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Tests, surveys, or observation of public behavior, </w:t>
            </w:r>
            <w:r w:rsidRPr="00702BD6">
              <w:rPr>
                <w:rFonts w:ascii="Times New Roman" w:hAnsi="Times New Roman" w:cs="Times New Roman"/>
                <w:i/>
              </w:rPr>
              <w:t>no</w:t>
            </w:r>
            <w:r w:rsidRPr="00702BD6">
              <w:rPr>
                <w:rFonts w:ascii="Times New Roman" w:hAnsi="Times New Roman" w:cs="Times New Roman"/>
              </w:rPr>
              <w:t xml:space="preserve"> risk</w:t>
            </w:r>
          </w:p>
        </w:tc>
      </w:tr>
      <w:tr w:rsidR="0038411D" w:rsidRPr="00702BD6" w14:paraId="37C8ACE2" w14:textId="77777777" w:rsidTr="0038411D">
        <w:sdt>
          <w:sdtPr>
            <w:rPr>
              <w:rFonts w:ascii="Calibri" w:hAnsi="Calibri"/>
            </w:rPr>
            <w:id w:val="409880"/>
            <w14:checkbox>
              <w14:checked w14:val="0"/>
              <w14:checkedState w14:val="2612" w14:font="MS Gothic"/>
              <w14:uncheckedState w14:val="2610" w14:font="MS Gothic"/>
            </w14:checkbox>
          </w:sdtPr>
          <w:sdtEndPr/>
          <w:sdtContent>
            <w:tc>
              <w:tcPr>
                <w:tcW w:w="783" w:type="dxa"/>
              </w:tcPr>
              <w:p w14:paraId="31601504"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4E1309E0"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2</w:t>
            </w:r>
          </w:p>
        </w:tc>
        <w:tc>
          <w:tcPr>
            <w:tcW w:w="1182" w:type="dxa"/>
          </w:tcPr>
          <w:p w14:paraId="4B6EC4E5"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iii</w:t>
            </w:r>
          </w:p>
        </w:tc>
        <w:tc>
          <w:tcPr>
            <w:tcW w:w="6065" w:type="dxa"/>
          </w:tcPr>
          <w:p w14:paraId="73845BF5"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Tests, surveys, or observation of public behavior, identifiers </w:t>
            </w:r>
            <w:r w:rsidRPr="00702BD6">
              <w:rPr>
                <w:rFonts w:ascii="Times New Roman" w:hAnsi="Times New Roman" w:cs="Times New Roman"/>
                <w:i/>
              </w:rPr>
              <w:t>with</w:t>
            </w:r>
            <w:r w:rsidRPr="00702BD6">
              <w:rPr>
                <w:rFonts w:ascii="Times New Roman" w:hAnsi="Times New Roman" w:cs="Times New Roman"/>
              </w:rPr>
              <w:t xml:space="preserve"> limited IRB review (provisions for confidentiality/privacy)</w:t>
            </w:r>
          </w:p>
        </w:tc>
      </w:tr>
      <w:tr w:rsidR="0038411D" w:rsidRPr="00702BD6" w14:paraId="106CE111" w14:textId="77777777" w:rsidTr="0038411D">
        <w:sdt>
          <w:sdtPr>
            <w:rPr>
              <w:rFonts w:ascii="Calibri" w:hAnsi="Calibri"/>
            </w:rPr>
            <w:id w:val="-1013838740"/>
            <w14:checkbox>
              <w14:checked w14:val="0"/>
              <w14:checkedState w14:val="2612" w14:font="MS Gothic"/>
              <w14:uncheckedState w14:val="2610" w14:font="MS Gothic"/>
            </w14:checkbox>
          </w:sdtPr>
          <w:sdtEndPr/>
          <w:sdtContent>
            <w:tc>
              <w:tcPr>
                <w:tcW w:w="783" w:type="dxa"/>
              </w:tcPr>
              <w:p w14:paraId="289D1CB7"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2E635E51"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3</w:t>
            </w:r>
          </w:p>
        </w:tc>
        <w:tc>
          <w:tcPr>
            <w:tcW w:w="1182" w:type="dxa"/>
          </w:tcPr>
          <w:p w14:paraId="352607FE" w14:textId="77777777" w:rsidR="0038411D" w:rsidRPr="00702BD6" w:rsidRDefault="0038411D" w:rsidP="0038411D">
            <w:pPr>
              <w:jc w:val="center"/>
              <w:rPr>
                <w:rFonts w:ascii="Times New Roman" w:hAnsi="Times New Roman" w:cs="Times New Roman"/>
              </w:rPr>
            </w:pPr>
            <w:proofErr w:type="spellStart"/>
            <w:r w:rsidRPr="00702BD6">
              <w:rPr>
                <w:rFonts w:ascii="Times New Roman" w:hAnsi="Times New Roman" w:cs="Times New Roman"/>
              </w:rPr>
              <w:t>i</w:t>
            </w:r>
            <w:proofErr w:type="spellEnd"/>
            <w:r w:rsidRPr="00702BD6">
              <w:rPr>
                <w:rFonts w:ascii="Times New Roman" w:hAnsi="Times New Roman" w:cs="Times New Roman"/>
              </w:rPr>
              <w:t>(A)</w:t>
            </w:r>
          </w:p>
        </w:tc>
        <w:tc>
          <w:tcPr>
            <w:tcW w:w="6065" w:type="dxa"/>
          </w:tcPr>
          <w:p w14:paraId="0F0D6874"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Benign behavioral interventions, </w:t>
            </w:r>
            <w:r w:rsidRPr="00702BD6">
              <w:rPr>
                <w:rFonts w:ascii="Times New Roman" w:hAnsi="Times New Roman" w:cs="Times New Roman"/>
                <w:i/>
              </w:rPr>
              <w:t xml:space="preserve">no </w:t>
            </w:r>
            <w:r w:rsidRPr="00702BD6">
              <w:rPr>
                <w:rFonts w:ascii="Times New Roman" w:hAnsi="Times New Roman" w:cs="Times New Roman"/>
              </w:rPr>
              <w:t>identifiers</w:t>
            </w:r>
          </w:p>
        </w:tc>
      </w:tr>
      <w:tr w:rsidR="0038411D" w:rsidRPr="00702BD6" w14:paraId="46A92DF9" w14:textId="77777777" w:rsidTr="0038411D">
        <w:sdt>
          <w:sdtPr>
            <w:rPr>
              <w:rFonts w:ascii="Calibri" w:hAnsi="Calibri"/>
            </w:rPr>
            <w:id w:val="-341159255"/>
            <w14:checkbox>
              <w14:checked w14:val="0"/>
              <w14:checkedState w14:val="2612" w14:font="MS Gothic"/>
              <w14:uncheckedState w14:val="2610" w14:font="MS Gothic"/>
            </w14:checkbox>
          </w:sdtPr>
          <w:sdtEndPr/>
          <w:sdtContent>
            <w:tc>
              <w:tcPr>
                <w:tcW w:w="783" w:type="dxa"/>
              </w:tcPr>
              <w:p w14:paraId="3C03021F"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5A753AE6"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3</w:t>
            </w:r>
          </w:p>
        </w:tc>
        <w:tc>
          <w:tcPr>
            <w:tcW w:w="1182" w:type="dxa"/>
          </w:tcPr>
          <w:p w14:paraId="5E616903" w14:textId="77777777" w:rsidR="0038411D" w:rsidRPr="00702BD6" w:rsidRDefault="0038411D" w:rsidP="0038411D">
            <w:pPr>
              <w:jc w:val="center"/>
              <w:rPr>
                <w:rFonts w:ascii="Times New Roman" w:hAnsi="Times New Roman" w:cs="Times New Roman"/>
              </w:rPr>
            </w:pPr>
            <w:proofErr w:type="spellStart"/>
            <w:r w:rsidRPr="00702BD6">
              <w:rPr>
                <w:rFonts w:ascii="Times New Roman" w:hAnsi="Times New Roman" w:cs="Times New Roman"/>
              </w:rPr>
              <w:t>i</w:t>
            </w:r>
            <w:proofErr w:type="spellEnd"/>
            <w:r w:rsidRPr="00702BD6">
              <w:rPr>
                <w:rFonts w:ascii="Times New Roman" w:hAnsi="Times New Roman" w:cs="Times New Roman"/>
              </w:rPr>
              <w:t>(B)</w:t>
            </w:r>
          </w:p>
        </w:tc>
        <w:tc>
          <w:tcPr>
            <w:tcW w:w="6065" w:type="dxa"/>
          </w:tcPr>
          <w:p w14:paraId="5A0681AA"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Benign behavioral interventions, </w:t>
            </w:r>
            <w:r w:rsidRPr="00702BD6">
              <w:rPr>
                <w:rFonts w:ascii="Times New Roman" w:hAnsi="Times New Roman" w:cs="Times New Roman"/>
                <w:i/>
              </w:rPr>
              <w:t xml:space="preserve">no </w:t>
            </w:r>
            <w:r w:rsidRPr="00702BD6">
              <w:rPr>
                <w:rFonts w:ascii="Times New Roman" w:hAnsi="Times New Roman" w:cs="Times New Roman"/>
              </w:rPr>
              <w:t>risk</w:t>
            </w:r>
          </w:p>
        </w:tc>
      </w:tr>
      <w:tr w:rsidR="0038411D" w:rsidRPr="00702BD6" w14:paraId="02B128EE" w14:textId="77777777" w:rsidTr="0038411D">
        <w:sdt>
          <w:sdtPr>
            <w:rPr>
              <w:rFonts w:ascii="Calibri" w:hAnsi="Calibri"/>
            </w:rPr>
            <w:id w:val="1615167030"/>
            <w14:checkbox>
              <w14:checked w14:val="0"/>
              <w14:checkedState w14:val="2612" w14:font="MS Gothic"/>
              <w14:uncheckedState w14:val="2610" w14:font="MS Gothic"/>
            </w14:checkbox>
          </w:sdtPr>
          <w:sdtEndPr/>
          <w:sdtContent>
            <w:tc>
              <w:tcPr>
                <w:tcW w:w="783" w:type="dxa"/>
              </w:tcPr>
              <w:p w14:paraId="635593C7"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65132FD4"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3</w:t>
            </w:r>
          </w:p>
        </w:tc>
        <w:tc>
          <w:tcPr>
            <w:tcW w:w="1182" w:type="dxa"/>
          </w:tcPr>
          <w:p w14:paraId="2C1EBF7E" w14:textId="77777777" w:rsidR="0038411D" w:rsidRPr="00702BD6" w:rsidRDefault="0038411D" w:rsidP="0038411D">
            <w:pPr>
              <w:jc w:val="center"/>
              <w:rPr>
                <w:rFonts w:ascii="Times New Roman" w:hAnsi="Times New Roman" w:cs="Times New Roman"/>
              </w:rPr>
            </w:pPr>
            <w:proofErr w:type="spellStart"/>
            <w:r w:rsidRPr="00702BD6">
              <w:rPr>
                <w:rFonts w:ascii="Times New Roman" w:hAnsi="Times New Roman" w:cs="Times New Roman"/>
              </w:rPr>
              <w:t>i</w:t>
            </w:r>
            <w:proofErr w:type="spellEnd"/>
            <w:r w:rsidRPr="00702BD6">
              <w:rPr>
                <w:rFonts w:ascii="Times New Roman" w:hAnsi="Times New Roman" w:cs="Times New Roman"/>
              </w:rPr>
              <w:t>(C)</w:t>
            </w:r>
          </w:p>
        </w:tc>
        <w:tc>
          <w:tcPr>
            <w:tcW w:w="6065" w:type="dxa"/>
          </w:tcPr>
          <w:p w14:paraId="32A518B2"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Benign behavioral interventions </w:t>
            </w:r>
            <w:r w:rsidRPr="00702BD6">
              <w:rPr>
                <w:rFonts w:ascii="Times New Roman" w:hAnsi="Times New Roman" w:cs="Times New Roman"/>
                <w:i/>
              </w:rPr>
              <w:t xml:space="preserve">with </w:t>
            </w:r>
            <w:r w:rsidRPr="00702BD6">
              <w:rPr>
                <w:rFonts w:ascii="Times New Roman" w:hAnsi="Times New Roman" w:cs="Times New Roman"/>
              </w:rPr>
              <w:t>limited IRB review (provisions for confidentiality/privacy)</w:t>
            </w:r>
          </w:p>
        </w:tc>
      </w:tr>
      <w:tr w:rsidR="0038411D" w:rsidRPr="00702BD6" w14:paraId="0D6D45D0" w14:textId="77777777" w:rsidTr="0038411D">
        <w:sdt>
          <w:sdtPr>
            <w:rPr>
              <w:rFonts w:ascii="Calibri" w:hAnsi="Calibri"/>
            </w:rPr>
            <w:id w:val="-564726551"/>
            <w14:checkbox>
              <w14:checked w14:val="0"/>
              <w14:checkedState w14:val="2612" w14:font="MS Gothic"/>
              <w14:uncheckedState w14:val="2610" w14:font="MS Gothic"/>
            </w14:checkbox>
          </w:sdtPr>
          <w:sdtEndPr/>
          <w:sdtContent>
            <w:tc>
              <w:tcPr>
                <w:tcW w:w="783" w:type="dxa"/>
              </w:tcPr>
              <w:p w14:paraId="617BD1C7"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662BBCA6"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4</w:t>
            </w:r>
          </w:p>
        </w:tc>
        <w:tc>
          <w:tcPr>
            <w:tcW w:w="1182" w:type="dxa"/>
          </w:tcPr>
          <w:p w14:paraId="36F118BA" w14:textId="77777777" w:rsidR="0038411D" w:rsidRPr="00702BD6" w:rsidRDefault="0038411D" w:rsidP="0038411D">
            <w:pPr>
              <w:jc w:val="center"/>
              <w:rPr>
                <w:rFonts w:ascii="Times New Roman" w:hAnsi="Times New Roman" w:cs="Times New Roman"/>
              </w:rPr>
            </w:pPr>
            <w:proofErr w:type="spellStart"/>
            <w:r w:rsidRPr="00702BD6">
              <w:rPr>
                <w:rFonts w:ascii="Times New Roman" w:hAnsi="Times New Roman" w:cs="Times New Roman"/>
              </w:rPr>
              <w:t>i</w:t>
            </w:r>
            <w:proofErr w:type="spellEnd"/>
          </w:p>
        </w:tc>
        <w:tc>
          <w:tcPr>
            <w:tcW w:w="6065" w:type="dxa"/>
          </w:tcPr>
          <w:p w14:paraId="5A4E6B0A"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Secondary research, publicly available information </w:t>
            </w:r>
            <w:r w:rsidRPr="00702BD6">
              <w:rPr>
                <w:rFonts w:ascii="Times New Roman" w:hAnsi="Times New Roman" w:cs="Times New Roman"/>
                <w:i/>
              </w:rPr>
              <w:t xml:space="preserve">with </w:t>
            </w:r>
            <w:r w:rsidRPr="00702BD6">
              <w:rPr>
                <w:rFonts w:ascii="Times New Roman" w:hAnsi="Times New Roman" w:cs="Times New Roman"/>
              </w:rPr>
              <w:t>identifiers</w:t>
            </w:r>
          </w:p>
        </w:tc>
      </w:tr>
      <w:tr w:rsidR="0038411D" w:rsidRPr="00702BD6" w14:paraId="734A9E71" w14:textId="77777777" w:rsidTr="0038411D">
        <w:sdt>
          <w:sdtPr>
            <w:rPr>
              <w:rFonts w:ascii="Calibri" w:hAnsi="Calibri"/>
            </w:rPr>
            <w:id w:val="1259415817"/>
            <w14:checkbox>
              <w14:checked w14:val="0"/>
              <w14:checkedState w14:val="2612" w14:font="MS Gothic"/>
              <w14:uncheckedState w14:val="2610" w14:font="MS Gothic"/>
            </w14:checkbox>
          </w:sdtPr>
          <w:sdtEndPr/>
          <w:sdtContent>
            <w:tc>
              <w:tcPr>
                <w:tcW w:w="783" w:type="dxa"/>
              </w:tcPr>
              <w:p w14:paraId="341BF49C"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2F83D96B"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4</w:t>
            </w:r>
          </w:p>
        </w:tc>
        <w:tc>
          <w:tcPr>
            <w:tcW w:w="1182" w:type="dxa"/>
          </w:tcPr>
          <w:p w14:paraId="7038A20E"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ii</w:t>
            </w:r>
          </w:p>
        </w:tc>
        <w:tc>
          <w:tcPr>
            <w:tcW w:w="6065" w:type="dxa"/>
          </w:tcPr>
          <w:p w14:paraId="47ADD82A"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 xml:space="preserve">Secondary research with information recoded with </w:t>
            </w:r>
            <w:r w:rsidRPr="00702BD6">
              <w:rPr>
                <w:rFonts w:ascii="Times New Roman" w:hAnsi="Times New Roman" w:cs="Times New Roman"/>
                <w:i/>
              </w:rPr>
              <w:t xml:space="preserve">no </w:t>
            </w:r>
            <w:r w:rsidRPr="00702BD6">
              <w:rPr>
                <w:rFonts w:ascii="Times New Roman" w:hAnsi="Times New Roman" w:cs="Times New Roman"/>
              </w:rPr>
              <w:t>identifiers</w:t>
            </w:r>
          </w:p>
        </w:tc>
      </w:tr>
      <w:tr w:rsidR="0038411D" w:rsidRPr="00702BD6" w14:paraId="1BFC7578" w14:textId="77777777" w:rsidTr="0038411D">
        <w:sdt>
          <w:sdtPr>
            <w:rPr>
              <w:rFonts w:ascii="Calibri" w:hAnsi="Calibri"/>
            </w:rPr>
            <w:id w:val="1149793477"/>
            <w14:checkbox>
              <w14:checked w14:val="0"/>
              <w14:checkedState w14:val="2612" w14:font="MS Gothic"/>
              <w14:uncheckedState w14:val="2610" w14:font="MS Gothic"/>
            </w14:checkbox>
          </w:sdtPr>
          <w:sdtEndPr/>
          <w:sdtContent>
            <w:tc>
              <w:tcPr>
                <w:tcW w:w="783" w:type="dxa"/>
              </w:tcPr>
              <w:p w14:paraId="10AD576E"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64FFCC88"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4</w:t>
            </w:r>
          </w:p>
        </w:tc>
        <w:tc>
          <w:tcPr>
            <w:tcW w:w="1182" w:type="dxa"/>
          </w:tcPr>
          <w:p w14:paraId="445678BD"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iii</w:t>
            </w:r>
          </w:p>
        </w:tc>
        <w:tc>
          <w:tcPr>
            <w:tcW w:w="6065" w:type="dxa"/>
          </w:tcPr>
          <w:p w14:paraId="4462C3C0"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Secondary research with identifiable health information</w:t>
            </w:r>
          </w:p>
        </w:tc>
      </w:tr>
      <w:tr w:rsidR="0038411D" w:rsidRPr="00702BD6" w14:paraId="60D0B733" w14:textId="77777777" w:rsidTr="0038411D">
        <w:sdt>
          <w:sdtPr>
            <w:rPr>
              <w:rFonts w:ascii="Calibri" w:hAnsi="Calibri"/>
            </w:rPr>
            <w:id w:val="-73437046"/>
            <w14:checkbox>
              <w14:checked w14:val="0"/>
              <w14:checkedState w14:val="2612" w14:font="MS Gothic"/>
              <w14:uncheckedState w14:val="2610" w14:font="MS Gothic"/>
            </w14:checkbox>
          </w:sdtPr>
          <w:sdtEndPr/>
          <w:sdtContent>
            <w:tc>
              <w:tcPr>
                <w:tcW w:w="783" w:type="dxa"/>
              </w:tcPr>
              <w:p w14:paraId="3F333278"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2A23F013"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4</w:t>
            </w:r>
          </w:p>
        </w:tc>
        <w:tc>
          <w:tcPr>
            <w:tcW w:w="1182" w:type="dxa"/>
          </w:tcPr>
          <w:p w14:paraId="3FBDD182"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iv</w:t>
            </w:r>
          </w:p>
        </w:tc>
        <w:tc>
          <w:tcPr>
            <w:tcW w:w="6065" w:type="dxa"/>
          </w:tcPr>
          <w:p w14:paraId="701B4270"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Secondary research for a federal agency</w:t>
            </w:r>
          </w:p>
        </w:tc>
      </w:tr>
      <w:tr w:rsidR="0038411D" w:rsidRPr="00702BD6" w14:paraId="1107E40D" w14:textId="77777777" w:rsidTr="0038411D">
        <w:sdt>
          <w:sdtPr>
            <w:rPr>
              <w:rFonts w:ascii="Calibri" w:hAnsi="Calibri"/>
            </w:rPr>
            <w:id w:val="-1911603012"/>
            <w14:checkbox>
              <w14:checked w14:val="0"/>
              <w14:checkedState w14:val="2612" w14:font="MS Gothic"/>
              <w14:uncheckedState w14:val="2610" w14:font="MS Gothic"/>
            </w14:checkbox>
          </w:sdtPr>
          <w:sdtEndPr/>
          <w:sdtContent>
            <w:tc>
              <w:tcPr>
                <w:tcW w:w="783" w:type="dxa"/>
              </w:tcPr>
              <w:p w14:paraId="42110AC0"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22D63ED2"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5</w:t>
            </w:r>
          </w:p>
        </w:tc>
        <w:tc>
          <w:tcPr>
            <w:tcW w:w="1182" w:type="dxa"/>
          </w:tcPr>
          <w:p w14:paraId="1034B451"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w:t>
            </w:r>
          </w:p>
        </w:tc>
        <w:tc>
          <w:tcPr>
            <w:tcW w:w="6065" w:type="dxa"/>
          </w:tcPr>
          <w:p w14:paraId="50F6397A"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Public benefit research and demonstration projects</w:t>
            </w:r>
          </w:p>
        </w:tc>
      </w:tr>
      <w:tr w:rsidR="0038411D" w:rsidRPr="00702BD6" w14:paraId="1D799FC3" w14:textId="77777777" w:rsidTr="0038411D">
        <w:sdt>
          <w:sdtPr>
            <w:rPr>
              <w:rFonts w:ascii="Calibri" w:hAnsi="Calibri"/>
            </w:rPr>
            <w:id w:val="-576521729"/>
            <w14:checkbox>
              <w14:checked w14:val="0"/>
              <w14:checkedState w14:val="2612" w14:font="MS Gothic"/>
              <w14:uncheckedState w14:val="2610" w14:font="MS Gothic"/>
            </w14:checkbox>
          </w:sdtPr>
          <w:sdtEndPr/>
          <w:sdtContent>
            <w:tc>
              <w:tcPr>
                <w:tcW w:w="783" w:type="dxa"/>
              </w:tcPr>
              <w:p w14:paraId="76C47B52" w14:textId="77777777" w:rsidR="0038411D" w:rsidRPr="00702BD6" w:rsidRDefault="0038411D" w:rsidP="0038411D">
                <w:pPr>
                  <w:jc w:val="center"/>
                  <w:rPr>
                    <w:rFonts w:ascii="Times New Roman" w:hAnsi="Times New Roman" w:cs="Times New Roman"/>
                  </w:rPr>
                </w:pPr>
                <w:r w:rsidRPr="00702BD6">
                  <w:rPr>
                    <w:rFonts w:ascii="Segoe UI Symbol" w:hAnsi="Segoe UI Symbol" w:cs="Segoe UI Symbol"/>
                  </w:rPr>
                  <w:t>☐</w:t>
                </w:r>
              </w:p>
            </w:tc>
          </w:sdtContent>
        </w:sdt>
        <w:tc>
          <w:tcPr>
            <w:tcW w:w="1318" w:type="dxa"/>
          </w:tcPr>
          <w:p w14:paraId="6ABBE642"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6</w:t>
            </w:r>
          </w:p>
        </w:tc>
        <w:tc>
          <w:tcPr>
            <w:tcW w:w="1182" w:type="dxa"/>
          </w:tcPr>
          <w:p w14:paraId="457D5A5A" w14:textId="77777777" w:rsidR="0038411D" w:rsidRPr="00702BD6" w:rsidRDefault="0038411D" w:rsidP="0038411D">
            <w:pPr>
              <w:jc w:val="center"/>
              <w:rPr>
                <w:rFonts w:ascii="Times New Roman" w:hAnsi="Times New Roman" w:cs="Times New Roman"/>
              </w:rPr>
            </w:pPr>
            <w:r w:rsidRPr="00702BD6">
              <w:rPr>
                <w:rFonts w:ascii="Times New Roman" w:hAnsi="Times New Roman" w:cs="Times New Roman"/>
              </w:rPr>
              <w:t>--</w:t>
            </w:r>
          </w:p>
        </w:tc>
        <w:tc>
          <w:tcPr>
            <w:tcW w:w="6065" w:type="dxa"/>
          </w:tcPr>
          <w:p w14:paraId="75000981" w14:textId="77777777" w:rsidR="0038411D" w:rsidRPr="00702BD6" w:rsidRDefault="0038411D" w:rsidP="0038411D">
            <w:pPr>
              <w:rPr>
                <w:rFonts w:ascii="Times New Roman" w:hAnsi="Times New Roman" w:cs="Times New Roman"/>
              </w:rPr>
            </w:pPr>
            <w:r w:rsidRPr="00702BD6">
              <w:rPr>
                <w:rFonts w:ascii="Times New Roman" w:hAnsi="Times New Roman" w:cs="Times New Roman"/>
              </w:rPr>
              <w:t>Taste and food quality studies</w:t>
            </w:r>
          </w:p>
        </w:tc>
      </w:tr>
    </w:tbl>
    <w:p w14:paraId="5C5956FB" w14:textId="77777777" w:rsidR="00AA2AC8" w:rsidRDefault="00AA2AC8" w:rsidP="00AA2AC8">
      <w:pPr>
        <w:tabs>
          <w:tab w:val="left" w:pos="7800"/>
        </w:tabs>
        <w:rPr>
          <w:rFonts w:asciiTheme="minorHAnsi" w:hAnsiTheme="minorHAnsi"/>
          <w:sz w:val="18"/>
        </w:rPr>
      </w:pPr>
    </w:p>
    <w:p w14:paraId="780CA409" w14:textId="77777777" w:rsidR="00AA2AC8" w:rsidRDefault="00AA2AC8"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06971138" w14:textId="77777777" w:rsidR="00024125" w:rsidRDefault="00024125"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45A660C8"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7B442DD2"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434532A0"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25565C08"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37A9F865"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5040251E"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7D875A11"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630CCC4B"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71C8C5D3"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24AB7927"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5E8BC84E"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65B40DF2"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441051D0" w14:textId="77777777" w:rsidR="0038411D" w:rsidRDefault="0038411D"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p>
    <w:p w14:paraId="32A01323" w14:textId="2DB99831" w:rsidR="00024125" w:rsidRDefault="00AA2AC8"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rPr>
      </w:pPr>
      <w:r>
        <w:rPr>
          <w:b/>
          <w:bCs/>
          <w:sz w:val="32"/>
          <w:szCs w:val="32"/>
        </w:rPr>
        <w:t xml:space="preserve">Full Text of Federal Regulation </w:t>
      </w:r>
      <w:r w:rsidR="00024125" w:rsidRPr="00024125">
        <w:rPr>
          <w:b/>
          <w:bCs/>
          <w:sz w:val="32"/>
          <w:szCs w:val="32"/>
        </w:rPr>
        <w:t>§46.10</w:t>
      </w:r>
      <w:r>
        <w:rPr>
          <w:b/>
          <w:bCs/>
          <w:sz w:val="32"/>
          <w:szCs w:val="32"/>
        </w:rPr>
        <w:t>4 (</w:t>
      </w:r>
      <w:r w:rsidR="00024125" w:rsidRPr="00024125">
        <w:rPr>
          <w:b/>
          <w:bCs/>
          <w:sz w:val="32"/>
          <w:szCs w:val="32"/>
        </w:rPr>
        <w:t>Exempt research</w:t>
      </w:r>
      <w:r>
        <w:rPr>
          <w:b/>
          <w:bCs/>
          <w:sz w:val="32"/>
          <w:szCs w:val="32"/>
        </w:rPr>
        <w:t>)</w:t>
      </w:r>
    </w:p>
    <w:p w14:paraId="7682DCCB" w14:textId="1EE86425" w:rsidR="00024125" w:rsidRDefault="00AA2AC8"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Excerpted f</w:t>
      </w:r>
      <w:r w:rsidR="00024125" w:rsidRPr="00024125">
        <w:rPr>
          <w:sz w:val="24"/>
          <w:szCs w:val="24"/>
        </w:rPr>
        <w:t>rom: Electronic Code of Federal Regulations, current as of December, 2018.</w:t>
      </w:r>
    </w:p>
    <w:p w14:paraId="209A5AE3" w14:textId="37460B8E" w:rsidR="00AA2AC8" w:rsidRDefault="00985B5E"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highlight w:val="yellow"/>
        </w:rPr>
      </w:pPr>
      <w:hyperlink r:id="rId12" w:anchor="se45.1.46_1104" w:history="1">
        <w:r w:rsidR="00AA2AC8" w:rsidRPr="001D7837">
          <w:rPr>
            <w:rStyle w:val="Hyperlink"/>
            <w:sz w:val="16"/>
            <w:szCs w:val="16"/>
          </w:rPr>
          <w:t>https://www.ecfr.gov/cgi-bin/retrieveECFR?gp=&amp;SID=b19da247520d4163d09a2ca47ab0032f&amp;mc=true&amp;n=pt45.1.46&amp;r=PART&amp;ty=HTML#se45.1.46_1104</w:t>
        </w:r>
      </w:hyperlink>
    </w:p>
    <w:p w14:paraId="2BB39C72" w14:textId="77777777" w:rsidR="00AA2AC8" w:rsidRDefault="00AA2AC8"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highlight w:val="yellow"/>
        </w:rPr>
      </w:pPr>
    </w:p>
    <w:p w14:paraId="6379B2BC" w14:textId="03376A8C" w:rsidR="00024125" w:rsidRDefault="00024125" w:rsidP="0002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18"/>
          <w:szCs w:val="18"/>
          <w:highlight w:val="yellow"/>
        </w:rPr>
      </w:pPr>
      <w:r w:rsidRPr="00024125">
        <w:rPr>
          <w:i/>
          <w:iCs/>
          <w:sz w:val="18"/>
          <w:szCs w:val="18"/>
          <w:highlight w:val="yellow"/>
        </w:rPr>
        <w:t>Yellow highlighted sections indicate significant changes made in the Revised Common Rule.</w:t>
      </w:r>
    </w:p>
    <w:p w14:paraId="7A8C94D2" w14:textId="33904B94" w:rsidR="00AA2AC8" w:rsidRDefault="00AA2AC8" w:rsidP="00AA2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sz w:val="18"/>
          <w:szCs w:val="18"/>
        </w:rPr>
        <w:t>For a description of the significant changes, watch</w:t>
      </w:r>
      <w:r w:rsidRPr="00024125">
        <w:rPr>
          <w:sz w:val="18"/>
          <w:szCs w:val="18"/>
        </w:rPr>
        <w:t xml:space="preserve"> OHRP video: </w:t>
      </w:r>
      <w:hyperlink r:id="rId13" w:history="1">
        <w:r w:rsidRPr="001D7837">
          <w:rPr>
            <w:rStyle w:val="Hyperlink"/>
            <w:sz w:val="18"/>
            <w:szCs w:val="18"/>
          </w:rPr>
          <w:t>https://www.youtube.com/watch?v=APRVsvKsPrM&amp;feature=youtu.be</w:t>
        </w:r>
      </w:hyperlink>
    </w:p>
    <w:p w14:paraId="420AF1FE" w14:textId="4ECAC378"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 (a) Unless otherwise required by law or by department or agency heads, research activities in which the only involvement of human subjects will be in one or more of the categories in paragraph (d) of this section are exempt from the requirements of this policy, except that such activities must comply with the requirements of this section and as specified in each category.</w:t>
      </w:r>
    </w:p>
    <w:p w14:paraId="38F273AB"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(b) Use of the exemption categories for research subject to the requirements of subparts B, C, and D: Application of the exemption categories to research subject to the requirements of 45 CFR part 46, subparts B, C, and D, is as follows:</w:t>
      </w:r>
    </w:p>
    <w:p w14:paraId="484C2B28"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lastRenderedPageBreak/>
        <w:t xml:space="preserve">(1) </w:t>
      </w:r>
      <w:r w:rsidRPr="00024125">
        <w:rPr>
          <w:rFonts w:cs="Tahoma"/>
          <w:i/>
          <w:iCs/>
          <w:sz w:val="20"/>
          <w:szCs w:val="20"/>
        </w:rPr>
        <w:t>Subpart B.</w:t>
      </w:r>
      <w:r w:rsidRPr="00024125">
        <w:rPr>
          <w:rFonts w:cs="Tahoma"/>
          <w:sz w:val="20"/>
          <w:szCs w:val="20"/>
        </w:rPr>
        <w:t xml:space="preserve"> Each of the exemptions at this section may be applied to research subject to subpart B if the conditions of the exemption are met.</w:t>
      </w:r>
    </w:p>
    <w:p w14:paraId="2D2074AD"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(2) </w:t>
      </w:r>
      <w:r w:rsidRPr="00024125">
        <w:rPr>
          <w:rFonts w:cs="Tahoma"/>
          <w:i/>
          <w:iCs/>
          <w:sz w:val="20"/>
          <w:szCs w:val="20"/>
        </w:rPr>
        <w:t>Subpart C.</w:t>
      </w:r>
      <w:r w:rsidRPr="00024125">
        <w:rPr>
          <w:rFonts w:cs="Tahoma"/>
          <w:sz w:val="20"/>
          <w:szCs w:val="20"/>
        </w:rPr>
        <w:t xml:space="preserve"> The exemptions at this section do not apply to research subject to subpart C, except for research aimed at involving a broader subject population that only incidentally includes prisoners.</w:t>
      </w:r>
    </w:p>
    <w:p w14:paraId="5128CDD7"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(3) </w:t>
      </w:r>
      <w:r w:rsidRPr="00024125">
        <w:rPr>
          <w:rFonts w:cs="Tahoma"/>
          <w:i/>
          <w:iCs/>
          <w:sz w:val="20"/>
          <w:szCs w:val="20"/>
        </w:rPr>
        <w:t>Subpart D.</w:t>
      </w:r>
      <w:r w:rsidRPr="00024125">
        <w:rPr>
          <w:rFonts w:cs="Tahoma"/>
          <w:sz w:val="20"/>
          <w:szCs w:val="20"/>
        </w:rPr>
        <w:t xml:space="preserve"> The exemptions at paragraphs (d)(1), (4), (5), (6), (7), and (8) of this section may be applied to research subject to subpart D if the conditions of the exemption are met. Paragraphs (d)(2)(</w:t>
      </w:r>
      <w:proofErr w:type="spellStart"/>
      <w:r w:rsidRPr="00024125">
        <w:rPr>
          <w:rFonts w:cs="Tahoma"/>
          <w:sz w:val="20"/>
          <w:szCs w:val="20"/>
        </w:rPr>
        <w:t>i</w:t>
      </w:r>
      <w:proofErr w:type="spellEnd"/>
      <w:r w:rsidRPr="00024125">
        <w:rPr>
          <w:rFonts w:cs="Tahoma"/>
          <w:sz w:val="20"/>
          <w:szCs w:val="20"/>
        </w:rPr>
        <w:t>) and (ii) of this section only may apply to research subject to subpart D involving educational tests or the observation of public behavior when the investigator(s) do not participate in the activities being observed. Paragraph (d)(2)(iii) of this section may not be applied to research subject to subpart D.</w:t>
      </w:r>
    </w:p>
    <w:p w14:paraId="256D8567"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(c) [Reserved]</w:t>
      </w:r>
    </w:p>
    <w:p w14:paraId="75A38127"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(d) Except as described in paragraph (a) of this section, the following categories of human </w:t>
      </w:r>
      <w:proofErr w:type="gramStart"/>
      <w:r w:rsidRPr="00024125">
        <w:rPr>
          <w:rFonts w:cs="Tahoma"/>
          <w:sz w:val="20"/>
          <w:szCs w:val="20"/>
        </w:rPr>
        <w:t>subjects</w:t>
      </w:r>
      <w:proofErr w:type="gramEnd"/>
      <w:r w:rsidRPr="00024125">
        <w:rPr>
          <w:rFonts w:cs="Tahoma"/>
          <w:sz w:val="20"/>
          <w:szCs w:val="20"/>
        </w:rPr>
        <w:t xml:space="preserve"> research are exempt from this policy:</w:t>
      </w:r>
    </w:p>
    <w:p w14:paraId="1C9EB2FA"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(1) Research, conducted in established or commonly accepted educational settings, that specifically involves normal educational practices </w:t>
      </w:r>
      <w:r w:rsidRPr="00024125">
        <w:rPr>
          <w:rFonts w:cs="Tahoma"/>
          <w:sz w:val="20"/>
          <w:szCs w:val="20"/>
          <w:highlight w:val="yellow"/>
        </w:rPr>
        <w:t>that are not likely to adversely impact students' opportunity to learn required educational content or the assessment of educators who provide instruction</w:t>
      </w:r>
      <w:r w:rsidRPr="00024125">
        <w:rPr>
          <w:rFonts w:cs="Tahoma"/>
          <w:sz w:val="20"/>
          <w:szCs w:val="20"/>
        </w:rPr>
        <w:t>. This includes most research on regular and special education instructional strategies, and research on the effectiveness of or the comparison among instructional techniques, curricula, or classroom management methods.</w:t>
      </w:r>
    </w:p>
    <w:p w14:paraId="0F44D366"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(2) Research that only includes </w:t>
      </w:r>
      <w:r w:rsidRPr="00024125">
        <w:rPr>
          <w:rFonts w:cs="Tahoma"/>
          <w:sz w:val="20"/>
          <w:szCs w:val="20"/>
          <w:u w:val="single"/>
        </w:rPr>
        <w:t>interactions</w:t>
      </w:r>
      <w:r w:rsidRPr="00024125">
        <w:rPr>
          <w:rFonts w:cs="Tahoma"/>
          <w:sz w:val="20"/>
          <w:szCs w:val="20"/>
        </w:rPr>
        <w:t xml:space="preserve"> involving educational tests (cognitive, diagnostic, aptitude, achievement), survey procedures, interview procedures, or observation of public behavior (including visual or auditory recording) if at least one of the following criteria is met:</w:t>
      </w:r>
    </w:p>
    <w:p w14:paraId="5E6EBAD5"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w:t>
      </w:r>
      <w:proofErr w:type="spellStart"/>
      <w:r w:rsidRPr="00024125">
        <w:rPr>
          <w:rFonts w:cs="Tahoma"/>
          <w:sz w:val="20"/>
          <w:szCs w:val="20"/>
        </w:rPr>
        <w:t>i</w:t>
      </w:r>
      <w:proofErr w:type="spellEnd"/>
      <w:r w:rsidRPr="00024125">
        <w:rPr>
          <w:rFonts w:cs="Tahoma"/>
          <w:sz w:val="20"/>
          <w:szCs w:val="20"/>
        </w:rPr>
        <w:t>) The information obtained is recorded by the investigator in such a manner that the identity of the human subjects cannot readily be ascertained, directly or through identifiers linked to the subjects;</w:t>
      </w:r>
    </w:p>
    <w:p w14:paraId="590261DB"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B70FEA7"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highlight w:val="yellow"/>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48E61C51"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highlight w:val="yellow"/>
        </w:rPr>
        <w:t>(3)(</w:t>
      </w:r>
      <w:proofErr w:type="spellStart"/>
      <w:r w:rsidRPr="00024125">
        <w:rPr>
          <w:rFonts w:cs="Tahoma"/>
          <w:sz w:val="20"/>
          <w:szCs w:val="20"/>
          <w:highlight w:val="yellow"/>
        </w:rPr>
        <w:t>i</w:t>
      </w:r>
      <w:proofErr w:type="spellEnd"/>
      <w:r w:rsidRPr="00024125">
        <w:rPr>
          <w:rFonts w:cs="Tahoma"/>
          <w:sz w:val="20"/>
          <w:szCs w:val="20"/>
          <w:highlight w:val="yellow"/>
        </w:rPr>
        <w:t xml:space="preserve">) Research involving benign behavioral </w:t>
      </w:r>
      <w:r w:rsidRPr="00024125">
        <w:rPr>
          <w:rFonts w:cs="Tahoma"/>
          <w:sz w:val="20"/>
          <w:szCs w:val="20"/>
          <w:highlight w:val="yellow"/>
          <w:u w:val="single"/>
        </w:rPr>
        <w:t>interventions</w:t>
      </w:r>
      <w:r w:rsidRPr="00024125">
        <w:rPr>
          <w:rFonts w:cs="Tahoma"/>
          <w:sz w:val="20"/>
          <w:szCs w:val="20"/>
          <w:highlight w:val="yellow"/>
        </w:rP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3ED92C7D"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(A) The information obtained is recorded by the investigator in such a manner that the identity of the human subjects cannot readily be ascertained, directly or through identifiers linked to the subjects;</w:t>
      </w:r>
    </w:p>
    <w:p w14:paraId="2C8C81D1"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255CF091"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highlight w:val="yellow"/>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7985A2A5"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highlight w:val="yellow"/>
        </w:rPr>
        <w:t xml:space="preserve">(ii)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w:t>
      </w:r>
      <w:r w:rsidRPr="00024125">
        <w:rPr>
          <w:rFonts w:cs="Tahoma"/>
          <w:sz w:val="20"/>
          <w:szCs w:val="20"/>
          <w:highlight w:val="yellow"/>
        </w:rPr>
        <w:lastRenderedPageBreak/>
        <w:t>solve puzzles under various noise conditions, or having them decide how to allocate a nominal amount of received cash between themselves and someone else.</w:t>
      </w:r>
    </w:p>
    <w:p w14:paraId="16BD8815"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highlight w:val="yellow"/>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001A5617"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(4) Secondary research for which consent is not required: Secondary research uses of identifiable private information or identifiable biospecimens, if at least one of the following criteria is met:</w:t>
      </w:r>
    </w:p>
    <w:p w14:paraId="0D655646"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w:t>
      </w:r>
      <w:proofErr w:type="spellStart"/>
      <w:r w:rsidRPr="00024125">
        <w:rPr>
          <w:rFonts w:cs="Tahoma"/>
          <w:sz w:val="20"/>
          <w:szCs w:val="20"/>
        </w:rPr>
        <w:t>i</w:t>
      </w:r>
      <w:proofErr w:type="spellEnd"/>
      <w:r w:rsidRPr="00024125">
        <w:rPr>
          <w:rFonts w:cs="Tahoma"/>
          <w:sz w:val="20"/>
          <w:szCs w:val="20"/>
        </w:rPr>
        <w:t>) The identifiable private information or identifiable biospecimens are publicly available;</w:t>
      </w:r>
    </w:p>
    <w:p w14:paraId="03AB6B77"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62466045"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40E81143"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 xml:space="preserve">(iv) The research is conducted by, or on behalf of, a Federal department or agency using government-generated or government-collected information obtained for </w:t>
      </w:r>
      <w:proofErr w:type="spellStart"/>
      <w:r w:rsidRPr="00024125">
        <w:rPr>
          <w:rFonts w:cs="Tahoma"/>
          <w:sz w:val="20"/>
          <w:szCs w:val="20"/>
        </w:rPr>
        <w:t>nonresearch</w:t>
      </w:r>
      <w:proofErr w:type="spellEnd"/>
      <w:r w:rsidRPr="00024125">
        <w:rPr>
          <w:rFonts w:cs="Tahoma"/>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024125">
        <w:rPr>
          <w:rFonts w:cs="Tahoma"/>
          <w:i/>
          <w:iCs/>
          <w:sz w:val="20"/>
          <w:szCs w:val="20"/>
        </w:rPr>
        <w:t>et seq.</w:t>
      </w:r>
    </w:p>
    <w:p w14:paraId="21EB0D5C"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516C49FA"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w:t>
      </w:r>
      <w:proofErr w:type="spellStart"/>
      <w:r w:rsidRPr="00024125">
        <w:rPr>
          <w:rFonts w:cs="Tahoma"/>
          <w:sz w:val="20"/>
          <w:szCs w:val="20"/>
        </w:rPr>
        <w:t>i</w:t>
      </w:r>
      <w:proofErr w:type="spellEnd"/>
      <w:r w:rsidRPr="00024125">
        <w:rPr>
          <w:rFonts w:cs="Tahoma"/>
          <w:sz w:val="20"/>
          <w:szCs w:val="20"/>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425EE791"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(ii) [Reserved]</w:t>
      </w:r>
    </w:p>
    <w:p w14:paraId="4DE68728"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(6) Taste and food quality evaluation and consumer acceptance studies:</w:t>
      </w:r>
    </w:p>
    <w:p w14:paraId="1FDBEF70"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w:t>
      </w:r>
      <w:proofErr w:type="spellStart"/>
      <w:r w:rsidRPr="00024125">
        <w:rPr>
          <w:rFonts w:cs="Tahoma"/>
          <w:sz w:val="20"/>
          <w:szCs w:val="20"/>
        </w:rPr>
        <w:t>i</w:t>
      </w:r>
      <w:proofErr w:type="spellEnd"/>
      <w:r w:rsidRPr="00024125">
        <w:rPr>
          <w:rFonts w:cs="Tahoma"/>
          <w:sz w:val="20"/>
          <w:szCs w:val="20"/>
        </w:rPr>
        <w:t>) If wholesome foods without additives are consumed, or</w:t>
      </w:r>
    </w:p>
    <w:p w14:paraId="537D505C"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980CDDD" w14:textId="77777777" w:rsidR="00024125" w:rsidRPr="00024125" w:rsidRDefault="00024125" w:rsidP="00024125">
      <w:pPr>
        <w:spacing w:before="100" w:beforeAutospacing="1" w:after="100" w:afterAutospacing="1"/>
        <w:rPr>
          <w:rFonts w:cs="Tahoma"/>
          <w:b/>
          <w:bCs/>
          <w:sz w:val="20"/>
          <w:szCs w:val="20"/>
          <w:u w:val="single"/>
        </w:rPr>
      </w:pPr>
      <w:r w:rsidRPr="00024125">
        <w:rPr>
          <w:rFonts w:cs="Tahoma"/>
          <w:b/>
          <w:bCs/>
          <w:sz w:val="20"/>
          <w:szCs w:val="20"/>
          <w:u w:val="single"/>
        </w:rPr>
        <w:lastRenderedPageBreak/>
        <w:t>PLEASE NOTE THAT CARTHAGE COLLEGE IS NOT CURRENTLY ADOPTING CATEGORIES 7 AND 8 FOR EXEMPTIONS.</w:t>
      </w:r>
    </w:p>
    <w:p w14:paraId="2D66551A"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49DB9AAA"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(8) Secondary research for which broad consent is required: Research involving the use of identifiable private information or identifiable biospecimens for secondary research use, if the following criteria are met:</w:t>
      </w:r>
    </w:p>
    <w:p w14:paraId="08C94BE5"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w:t>
      </w:r>
      <w:proofErr w:type="spellStart"/>
      <w:r w:rsidRPr="00024125">
        <w:rPr>
          <w:rFonts w:cs="Tahoma"/>
          <w:sz w:val="20"/>
          <w:szCs w:val="20"/>
        </w:rPr>
        <w:t>i</w:t>
      </w:r>
      <w:proofErr w:type="spellEnd"/>
      <w:r w:rsidRPr="00024125">
        <w:rPr>
          <w:rFonts w:cs="Tahoma"/>
          <w:sz w:val="20"/>
          <w:szCs w:val="20"/>
        </w:rPr>
        <w:t>) Broad consent for the storage, maintenance, and secondary research use of the identifiable private information or identifiable biospecimens was obtained in accordance with §46.116(a)(1) through (4), (a)(6), and (d);</w:t>
      </w:r>
    </w:p>
    <w:p w14:paraId="2D714564" w14:textId="77777777" w:rsidR="00024125" w:rsidRPr="00024125" w:rsidRDefault="00024125" w:rsidP="00024125">
      <w:pPr>
        <w:spacing w:before="100" w:beforeAutospacing="1" w:after="100" w:afterAutospacing="1"/>
        <w:rPr>
          <w:rFonts w:cs="Tahoma"/>
          <w:sz w:val="20"/>
          <w:szCs w:val="20"/>
        </w:rPr>
      </w:pPr>
      <w:r w:rsidRPr="00024125">
        <w:rPr>
          <w:rFonts w:cs="Tahoma"/>
          <w:sz w:val="20"/>
          <w:szCs w:val="20"/>
        </w:rPr>
        <w:t>(ii) Documentation of informed consent or waiver of documentation of consent was obtained in accordance with §46.117;</w:t>
      </w:r>
    </w:p>
    <w:p w14:paraId="5EA0709F" w14:textId="7980029F" w:rsidR="00024125" w:rsidRDefault="00024125" w:rsidP="00024125">
      <w:pPr>
        <w:spacing w:before="100" w:beforeAutospacing="1" w:after="100" w:afterAutospacing="1"/>
        <w:rPr>
          <w:rFonts w:cs="Tahoma"/>
          <w:sz w:val="20"/>
          <w:szCs w:val="20"/>
        </w:rPr>
      </w:pPr>
      <w:r w:rsidRPr="00024125">
        <w:rPr>
          <w:rFonts w:cs="Tahoma"/>
          <w:sz w:val="20"/>
          <w:szCs w:val="20"/>
        </w:rPr>
        <w:t>(iii) An IRB conducts a limited IRB review and makes the determination required by §46.111(a)(7) and makes the determination that the research to be conducted is within the scope of the broad consent referenced in paragraph (d)(8)(</w:t>
      </w:r>
      <w:proofErr w:type="spellStart"/>
      <w:r w:rsidRPr="00024125">
        <w:rPr>
          <w:rFonts w:cs="Tahoma"/>
          <w:sz w:val="20"/>
          <w:szCs w:val="20"/>
        </w:rPr>
        <w:t>i</w:t>
      </w:r>
      <w:proofErr w:type="spellEnd"/>
      <w:r w:rsidRPr="00024125">
        <w:rPr>
          <w:rFonts w:cs="Tahoma"/>
          <w:sz w:val="20"/>
          <w:szCs w:val="20"/>
        </w:rPr>
        <w:t>) of this section; and (iv) The investigator does not include returning individual research results to subjects as part of the study plan. This provision does not prevent an investigator from abiding by any legal requirements to return individual research results.</w:t>
      </w:r>
    </w:p>
    <w:p w14:paraId="3EF178E9" w14:textId="50B852E4" w:rsidR="002829A8" w:rsidRDefault="002829A8" w:rsidP="00024125">
      <w:pPr>
        <w:spacing w:before="100" w:beforeAutospacing="1" w:after="100" w:afterAutospacing="1"/>
        <w:rPr>
          <w:rFonts w:cs="Tahoma"/>
          <w:sz w:val="20"/>
          <w:szCs w:val="20"/>
        </w:rPr>
      </w:pPr>
    </w:p>
    <w:p w14:paraId="4A50E346" w14:textId="77777777" w:rsidR="002829A8" w:rsidRDefault="002829A8" w:rsidP="00024125">
      <w:pPr>
        <w:spacing w:before="100" w:beforeAutospacing="1" w:after="100" w:afterAutospacing="1"/>
        <w:rPr>
          <w:rFonts w:cs="Tahoma"/>
          <w:sz w:val="20"/>
          <w:szCs w:val="20"/>
        </w:rPr>
      </w:pPr>
    </w:p>
    <w:sectPr w:rsidR="002829A8" w:rsidSect="00185DAC">
      <w:footerReference w:type="even" r:id="rId14"/>
      <w:footerReference w:type="default" r:id="rId15"/>
      <w:headerReference w:type="first" r:id="rId16"/>
      <w:footerReference w:type="first" r:id="rId17"/>
      <w:type w:val="continuous"/>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0638" w14:textId="77777777" w:rsidR="00985B5E" w:rsidRDefault="00985B5E" w:rsidP="005C1375">
      <w:r>
        <w:separator/>
      </w:r>
    </w:p>
  </w:endnote>
  <w:endnote w:type="continuationSeparator" w:id="0">
    <w:p w14:paraId="22B90612" w14:textId="77777777" w:rsidR="00985B5E" w:rsidRDefault="00985B5E" w:rsidP="005C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yriad Roman">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D684" w14:textId="77777777" w:rsidR="00741C82" w:rsidRDefault="00741C82" w:rsidP="005C1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ED685" w14:textId="77777777" w:rsidR="00741C82" w:rsidRDefault="00741C82" w:rsidP="005C13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D686" w14:textId="0385812D" w:rsidR="00741C82" w:rsidRPr="00185DAC" w:rsidRDefault="00763D99" w:rsidP="00FB797F">
    <w:pPr>
      <w:pStyle w:val="Footer"/>
      <w:ind w:right="360"/>
      <w:jc w:val="right"/>
      <w:rPr>
        <w:rFonts w:ascii="Tahoma" w:hAnsi="Tahoma" w:cs="Tahoma"/>
        <w:sz w:val="16"/>
      </w:rPr>
    </w:pPr>
    <w:r w:rsidRPr="00185DAC">
      <w:rPr>
        <w:rFonts w:ascii="Tahoma" w:hAnsi="Tahoma" w:cs="Tahoma"/>
        <w:sz w:val="16"/>
      </w:rPr>
      <w:t xml:space="preserve">Revised </w:t>
    </w:r>
    <w:r w:rsidR="00044C52">
      <w:rPr>
        <w:rFonts w:ascii="Tahoma" w:hAnsi="Tahoma" w:cs="Tahoma"/>
        <w:sz w:val="16"/>
      </w:rPr>
      <w:t>0</w:t>
    </w:r>
    <w:r w:rsidR="0038411D">
      <w:rPr>
        <w:rFonts w:ascii="Tahoma" w:hAnsi="Tahoma" w:cs="Tahoma"/>
        <w:sz w:val="16"/>
      </w:rPr>
      <w:t>2</w:t>
    </w:r>
    <w:r w:rsidR="00044C52">
      <w:rPr>
        <w:rFonts w:ascii="Tahoma" w:hAnsi="Tahoma" w:cs="Tahoma"/>
        <w:sz w:val="16"/>
      </w:rPr>
      <w:t>/</w:t>
    </w:r>
    <w:r w:rsidR="0038411D">
      <w:rPr>
        <w:rFonts w:ascii="Tahoma" w:hAnsi="Tahoma" w:cs="Tahoma"/>
        <w:sz w:val="16"/>
      </w:rPr>
      <w:t>08</w:t>
    </w:r>
    <w:r w:rsidR="00044C52">
      <w:rPr>
        <w:rFonts w:ascii="Tahoma" w:hAnsi="Tahoma" w:cs="Tahoma"/>
        <w:sz w:val="16"/>
      </w:rPr>
      <w:t>/201</w:t>
    </w:r>
    <w:r w:rsidR="0038411D">
      <w:rPr>
        <w:rFonts w:ascii="Tahoma" w:hAnsi="Tahoma" w:cs="Tahoma"/>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D688" w14:textId="77777777" w:rsidR="00763D99" w:rsidRPr="00763D99" w:rsidRDefault="00763D99">
    <w:pPr>
      <w:pStyle w:val="Footer"/>
      <w:rPr>
        <w:sz w:val="18"/>
      </w:rPr>
    </w:pPr>
    <w:r w:rsidRPr="00763D99">
      <w:rPr>
        <w:sz w:val="18"/>
      </w:rPr>
      <w:t>Form Revised 08/29/2013</w:t>
    </w:r>
  </w:p>
  <w:p w14:paraId="31EED689" w14:textId="77777777" w:rsidR="00763D99" w:rsidRDefault="0076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ADB97" w14:textId="77777777" w:rsidR="00985B5E" w:rsidRDefault="00985B5E" w:rsidP="005C1375">
      <w:r>
        <w:separator/>
      </w:r>
    </w:p>
  </w:footnote>
  <w:footnote w:type="continuationSeparator" w:id="0">
    <w:p w14:paraId="31D1369C" w14:textId="77777777" w:rsidR="00985B5E" w:rsidRDefault="00985B5E" w:rsidP="005C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D687" w14:textId="77777777" w:rsidR="00741C82" w:rsidRPr="001D17F5" w:rsidRDefault="00970C79" w:rsidP="00970C79">
    <w:pPr>
      <w:pStyle w:val="Header"/>
      <w:widowControl w:val="0"/>
      <w:tabs>
        <w:tab w:val="clear" w:pos="4320"/>
        <w:tab w:val="clear" w:pos="8640"/>
        <w:tab w:val="left" w:pos="6480"/>
        <w:tab w:val="left" w:pos="9540"/>
      </w:tabs>
      <w:rPr>
        <w:b/>
        <w:sz w:val="18"/>
        <w:szCs w:val="18"/>
      </w:rPr>
    </w:pPr>
    <w:r>
      <w:rPr>
        <w:b/>
        <w:sz w:val="18"/>
        <w:szCs w:val="18"/>
      </w:rPr>
      <w:tab/>
    </w:r>
    <w:r w:rsidR="001D17F5">
      <w:rPr>
        <w:b/>
        <w:sz w:val="18"/>
        <w:szCs w:val="18"/>
      </w:rPr>
      <w:t>Date Received: _____/_____/_____</w:t>
    </w:r>
    <w:r>
      <w:rPr>
        <w:b/>
        <w:sz w:val="18"/>
        <w:szCs w:val="18"/>
      </w:rPr>
      <w:tab/>
    </w:r>
    <w:r w:rsidR="001D17F5">
      <w:rPr>
        <w:b/>
        <w:sz w:val="18"/>
        <w:szCs w:val="18"/>
      </w:rPr>
      <w:t>Log#________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pt" o:bullet="t">
        <v:imagedata r:id="rId1" o:title="BD21295_"/>
      </v:shape>
    </w:pict>
  </w:numPicBullet>
  <w:abstractNum w:abstractNumId="0" w15:restartNumberingAfterBreak="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A2551"/>
    <w:multiLevelType w:val="hybridMultilevel"/>
    <w:tmpl w:val="BA0873F4"/>
    <w:lvl w:ilvl="0" w:tplc="4E80E35A">
      <w:start w:val="57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A76DE"/>
    <w:multiLevelType w:val="hybridMultilevel"/>
    <w:tmpl w:val="CB2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B010A"/>
    <w:multiLevelType w:val="hybridMultilevel"/>
    <w:tmpl w:val="A232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16F6D"/>
    <w:multiLevelType w:val="hybridMultilevel"/>
    <w:tmpl w:val="12F83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42E99"/>
    <w:multiLevelType w:val="hybridMultilevel"/>
    <w:tmpl w:val="C8B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6827D3"/>
    <w:multiLevelType w:val="hybridMultilevel"/>
    <w:tmpl w:val="E37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85630"/>
    <w:multiLevelType w:val="hybridMultilevel"/>
    <w:tmpl w:val="7A626F96"/>
    <w:lvl w:ilvl="0" w:tplc="EE6E8F68">
      <w:start w:val="1"/>
      <w:numFmt w:val="decimal"/>
      <w:lvlText w:val="%1."/>
      <w:lvlJc w:val="left"/>
      <w:pPr>
        <w:tabs>
          <w:tab w:val="num" w:pos="720"/>
        </w:tabs>
        <w:ind w:left="720" w:hanging="360"/>
      </w:pPr>
      <w:rPr>
        <w:rFonts w:hint="default"/>
        <w:color w:val="4F4F4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B3BC4"/>
    <w:multiLevelType w:val="hybridMultilevel"/>
    <w:tmpl w:val="3F74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F4661"/>
    <w:multiLevelType w:val="multilevel"/>
    <w:tmpl w:val="5A60A530"/>
    <w:lvl w:ilvl="0">
      <w:start w:val="1"/>
      <w:numFmt w:val="decimal"/>
      <w:lvlText w:val="%1."/>
      <w:lvlJc w:val="left"/>
      <w:pPr>
        <w:tabs>
          <w:tab w:val="num" w:pos="450"/>
        </w:tabs>
        <w:ind w:left="450" w:hanging="360"/>
      </w:pPr>
      <w:rPr>
        <w:rFonts w:ascii="Calibri" w:hAnsi="Calibri" w:hint="default"/>
        <w:b w:val="0"/>
        <w:i w:val="0"/>
        <w:sz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134BB8"/>
    <w:multiLevelType w:val="hybridMultilevel"/>
    <w:tmpl w:val="4EC09A78"/>
    <w:lvl w:ilvl="0" w:tplc="F3EEA1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D1508"/>
    <w:multiLevelType w:val="hybridMultilevel"/>
    <w:tmpl w:val="F7E810DA"/>
    <w:lvl w:ilvl="0" w:tplc="3FF4C3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A273A"/>
    <w:multiLevelType w:val="hybridMultilevel"/>
    <w:tmpl w:val="1AFC7A06"/>
    <w:lvl w:ilvl="0" w:tplc="BD90E5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9574A"/>
    <w:multiLevelType w:val="hybridMultilevel"/>
    <w:tmpl w:val="FCD65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6"/>
  </w:num>
  <w:num w:numId="4">
    <w:abstractNumId w:val="6"/>
  </w:num>
  <w:num w:numId="5">
    <w:abstractNumId w:val="2"/>
  </w:num>
  <w:num w:numId="6">
    <w:abstractNumId w:val="15"/>
  </w:num>
  <w:num w:numId="7">
    <w:abstractNumId w:val="4"/>
  </w:num>
  <w:num w:numId="8">
    <w:abstractNumId w:val="7"/>
  </w:num>
  <w:num w:numId="9">
    <w:abstractNumId w:val="9"/>
  </w:num>
  <w:num w:numId="10">
    <w:abstractNumId w:val="14"/>
  </w:num>
  <w:num w:numId="11">
    <w:abstractNumId w:val="0"/>
  </w:num>
  <w:num w:numId="12">
    <w:abstractNumId w:val="13"/>
  </w:num>
  <w:num w:numId="13">
    <w:abstractNumId w:val="17"/>
  </w:num>
  <w:num w:numId="14">
    <w:abstractNumId w:val="3"/>
  </w:num>
  <w:num w:numId="15">
    <w:abstractNumId w:val="10"/>
  </w:num>
  <w:num w:numId="16">
    <w:abstractNumId w:val="11"/>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24125"/>
    <w:rsid w:val="00026C62"/>
    <w:rsid w:val="00044C52"/>
    <w:rsid w:val="000455EC"/>
    <w:rsid w:val="000466D4"/>
    <w:rsid w:val="0005061B"/>
    <w:rsid w:val="00061AEB"/>
    <w:rsid w:val="00064889"/>
    <w:rsid w:val="00086D30"/>
    <w:rsid w:val="00087234"/>
    <w:rsid w:val="000878E3"/>
    <w:rsid w:val="000A2213"/>
    <w:rsid w:val="000A3BFD"/>
    <w:rsid w:val="000A42B8"/>
    <w:rsid w:val="000A5FDB"/>
    <w:rsid w:val="000E4914"/>
    <w:rsid w:val="000F538B"/>
    <w:rsid w:val="00101651"/>
    <w:rsid w:val="001070CD"/>
    <w:rsid w:val="00116A66"/>
    <w:rsid w:val="00172D7D"/>
    <w:rsid w:val="00182C93"/>
    <w:rsid w:val="00185DAC"/>
    <w:rsid w:val="0019653E"/>
    <w:rsid w:val="001D17F5"/>
    <w:rsid w:val="001E4E0C"/>
    <w:rsid w:val="001F2114"/>
    <w:rsid w:val="00210A65"/>
    <w:rsid w:val="002148B7"/>
    <w:rsid w:val="0022630E"/>
    <w:rsid w:val="00237829"/>
    <w:rsid w:val="00251576"/>
    <w:rsid w:val="00251E29"/>
    <w:rsid w:val="00267108"/>
    <w:rsid w:val="0027595E"/>
    <w:rsid w:val="002829A8"/>
    <w:rsid w:val="00283790"/>
    <w:rsid w:val="00287B16"/>
    <w:rsid w:val="00291907"/>
    <w:rsid w:val="002A06D4"/>
    <w:rsid w:val="002A26D4"/>
    <w:rsid w:val="002A666D"/>
    <w:rsid w:val="002A7CA7"/>
    <w:rsid w:val="002B6905"/>
    <w:rsid w:val="002E49F2"/>
    <w:rsid w:val="002E65C8"/>
    <w:rsid w:val="002F6012"/>
    <w:rsid w:val="0030041C"/>
    <w:rsid w:val="00301AFC"/>
    <w:rsid w:val="003226B5"/>
    <w:rsid w:val="00324310"/>
    <w:rsid w:val="00342618"/>
    <w:rsid w:val="00346696"/>
    <w:rsid w:val="00353C34"/>
    <w:rsid w:val="00361485"/>
    <w:rsid w:val="003648EB"/>
    <w:rsid w:val="00382FD8"/>
    <w:rsid w:val="0038411D"/>
    <w:rsid w:val="003920EA"/>
    <w:rsid w:val="00392EC3"/>
    <w:rsid w:val="003C1C5E"/>
    <w:rsid w:val="003C4F6B"/>
    <w:rsid w:val="003D10A5"/>
    <w:rsid w:val="003D4E53"/>
    <w:rsid w:val="003E61F7"/>
    <w:rsid w:val="00407AB6"/>
    <w:rsid w:val="0043356C"/>
    <w:rsid w:val="00466687"/>
    <w:rsid w:val="004759D1"/>
    <w:rsid w:val="00483D58"/>
    <w:rsid w:val="0049195F"/>
    <w:rsid w:val="00493583"/>
    <w:rsid w:val="00495A2E"/>
    <w:rsid w:val="004A4CE3"/>
    <w:rsid w:val="004B2C7A"/>
    <w:rsid w:val="004C273B"/>
    <w:rsid w:val="0050385E"/>
    <w:rsid w:val="0050738B"/>
    <w:rsid w:val="0051011A"/>
    <w:rsid w:val="00512B08"/>
    <w:rsid w:val="00525205"/>
    <w:rsid w:val="00594B92"/>
    <w:rsid w:val="00595532"/>
    <w:rsid w:val="005A117B"/>
    <w:rsid w:val="005A5417"/>
    <w:rsid w:val="005A719D"/>
    <w:rsid w:val="005C1375"/>
    <w:rsid w:val="005C6C85"/>
    <w:rsid w:val="005D615D"/>
    <w:rsid w:val="005F4022"/>
    <w:rsid w:val="005F7AB9"/>
    <w:rsid w:val="00610776"/>
    <w:rsid w:val="0062648A"/>
    <w:rsid w:val="0063414C"/>
    <w:rsid w:val="00634EB4"/>
    <w:rsid w:val="0063727E"/>
    <w:rsid w:val="00643AA9"/>
    <w:rsid w:val="00644055"/>
    <w:rsid w:val="00656858"/>
    <w:rsid w:val="00657855"/>
    <w:rsid w:val="006612D3"/>
    <w:rsid w:val="00690F46"/>
    <w:rsid w:val="00695420"/>
    <w:rsid w:val="006A242B"/>
    <w:rsid w:val="006A3290"/>
    <w:rsid w:val="006C61D3"/>
    <w:rsid w:val="006D77D2"/>
    <w:rsid w:val="006E1EB5"/>
    <w:rsid w:val="006F08A1"/>
    <w:rsid w:val="006F1B4A"/>
    <w:rsid w:val="00700707"/>
    <w:rsid w:val="0071461D"/>
    <w:rsid w:val="0072462A"/>
    <w:rsid w:val="007267DE"/>
    <w:rsid w:val="007320CA"/>
    <w:rsid w:val="00741C82"/>
    <w:rsid w:val="00742C11"/>
    <w:rsid w:val="00763D99"/>
    <w:rsid w:val="00781937"/>
    <w:rsid w:val="00792A07"/>
    <w:rsid w:val="00797265"/>
    <w:rsid w:val="007C6AE3"/>
    <w:rsid w:val="007D531E"/>
    <w:rsid w:val="007E3443"/>
    <w:rsid w:val="007E3BF7"/>
    <w:rsid w:val="007F2364"/>
    <w:rsid w:val="007F7854"/>
    <w:rsid w:val="00811916"/>
    <w:rsid w:val="008171A6"/>
    <w:rsid w:val="008267C9"/>
    <w:rsid w:val="00826A87"/>
    <w:rsid w:val="00845139"/>
    <w:rsid w:val="00865BD4"/>
    <w:rsid w:val="0086733A"/>
    <w:rsid w:val="008679C7"/>
    <w:rsid w:val="0087535E"/>
    <w:rsid w:val="00881331"/>
    <w:rsid w:val="008A4A97"/>
    <w:rsid w:val="008C4C4A"/>
    <w:rsid w:val="008D405B"/>
    <w:rsid w:val="008D5395"/>
    <w:rsid w:val="008F2316"/>
    <w:rsid w:val="009100C7"/>
    <w:rsid w:val="00933832"/>
    <w:rsid w:val="0094173F"/>
    <w:rsid w:val="00952A45"/>
    <w:rsid w:val="0095657B"/>
    <w:rsid w:val="00970C79"/>
    <w:rsid w:val="00971085"/>
    <w:rsid w:val="009714AD"/>
    <w:rsid w:val="00985B5E"/>
    <w:rsid w:val="00995000"/>
    <w:rsid w:val="009A6F85"/>
    <w:rsid w:val="009B5812"/>
    <w:rsid w:val="009F6095"/>
    <w:rsid w:val="00A04C8B"/>
    <w:rsid w:val="00A10C12"/>
    <w:rsid w:val="00A229A1"/>
    <w:rsid w:val="00A62FA1"/>
    <w:rsid w:val="00A70144"/>
    <w:rsid w:val="00A87D0D"/>
    <w:rsid w:val="00A90BE6"/>
    <w:rsid w:val="00AA29A0"/>
    <w:rsid w:val="00AA2AC8"/>
    <w:rsid w:val="00AA4AF3"/>
    <w:rsid w:val="00AB1A22"/>
    <w:rsid w:val="00B117C7"/>
    <w:rsid w:val="00B361FA"/>
    <w:rsid w:val="00B41D72"/>
    <w:rsid w:val="00B4296B"/>
    <w:rsid w:val="00B42B03"/>
    <w:rsid w:val="00B43481"/>
    <w:rsid w:val="00B84EA0"/>
    <w:rsid w:val="00B85F05"/>
    <w:rsid w:val="00B97E06"/>
    <w:rsid w:val="00BB0CFE"/>
    <w:rsid w:val="00BB5B71"/>
    <w:rsid w:val="00BC65CE"/>
    <w:rsid w:val="00BD1067"/>
    <w:rsid w:val="00C165AA"/>
    <w:rsid w:val="00C64961"/>
    <w:rsid w:val="00C84DB2"/>
    <w:rsid w:val="00C9456A"/>
    <w:rsid w:val="00CA2B15"/>
    <w:rsid w:val="00CA4E88"/>
    <w:rsid w:val="00CA61A2"/>
    <w:rsid w:val="00CB7187"/>
    <w:rsid w:val="00CC1512"/>
    <w:rsid w:val="00CE287B"/>
    <w:rsid w:val="00CE76EE"/>
    <w:rsid w:val="00D01B4C"/>
    <w:rsid w:val="00D22879"/>
    <w:rsid w:val="00D25539"/>
    <w:rsid w:val="00D36B39"/>
    <w:rsid w:val="00D43EE6"/>
    <w:rsid w:val="00D65B65"/>
    <w:rsid w:val="00D75ADB"/>
    <w:rsid w:val="00D97D74"/>
    <w:rsid w:val="00DA4C27"/>
    <w:rsid w:val="00DB03BA"/>
    <w:rsid w:val="00DB0A84"/>
    <w:rsid w:val="00DB491A"/>
    <w:rsid w:val="00DC2AD5"/>
    <w:rsid w:val="00DD3A72"/>
    <w:rsid w:val="00DE4129"/>
    <w:rsid w:val="00DE50AE"/>
    <w:rsid w:val="00DE6BFB"/>
    <w:rsid w:val="00DF54F1"/>
    <w:rsid w:val="00DF79F9"/>
    <w:rsid w:val="00E02989"/>
    <w:rsid w:val="00E05F1E"/>
    <w:rsid w:val="00E079F6"/>
    <w:rsid w:val="00E123A7"/>
    <w:rsid w:val="00E136F5"/>
    <w:rsid w:val="00E2129F"/>
    <w:rsid w:val="00E25EC1"/>
    <w:rsid w:val="00E351D4"/>
    <w:rsid w:val="00E41F5B"/>
    <w:rsid w:val="00E55B55"/>
    <w:rsid w:val="00E64DFD"/>
    <w:rsid w:val="00E67848"/>
    <w:rsid w:val="00E67F62"/>
    <w:rsid w:val="00EA0D94"/>
    <w:rsid w:val="00EE396F"/>
    <w:rsid w:val="00EE605F"/>
    <w:rsid w:val="00EE72F1"/>
    <w:rsid w:val="00F00A67"/>
    <w:rsid w:val="00F00B2E"/>
    <w:rsid w:val="00F10FC5"/>
    <w:rsid w:val="00F273DC"/>
    <w:rsid w:val="00F30615"/>
    <w:rsid w:val="00F3227C"/>
    <w:rsid w:val="00F44B8A"/>
    <w:rsid w:val="00F52DE7"/>
    <w:rsid w:val="00F52FEA"/>
    <w:rsid w:val="00F533B8"/>
    <w:rsid w:val="00F6130C"/>
    <w:rsid w:val="00F70691"/>
    <w:rsid w:val="00F953F9"/>
    <w:rsid w:val="00FB54E8"/>
    <w:rsid w:val="00FB797F"/>
    <w:rsid w:val="00FD468C"/>
    <w:rsid w:val="00FE01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ED600"/>
  <w15:docId w15:val="{0903828F-B539-4E03-A422-8823A341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rPr>
  </w:style>
  <w:style w:type="paragraph" w:styleId="Heading2">
    <w:name w:val="heading 2"/>
    <w:basedOn w:val="Normal"/>
    <w:next w:val="Normal"/>
    <w:link w:val="Heading2Char"/>
    <w:qFormat/>
    <w:rsid w:val="005C1375"/>
    <w:pPr>
      <w:keepNext/>
      <w:outlineLvl w:val="1"/>
    </w:pPr>
    <w:rPr>
      <w:rFonts w:ascii="Times New Roman" w:hAnsi="Times New Roman"/>
      <w:b/>
      <w:bCs/>
      <w:sz w:val="20"/>
      <w:szCs w:val="24"/>
    </w:rPr>
  </w:style>
  <w:style w:type="paragraph" w:styleId="Heading3">
    <w:name w:val="heading 3"/>
    <w:basedOn w:val="Normal"/>
    <w:next w:val="Normal"/>
    <w:link w:val="Heading3Char"/>
    <w:semiHidden/>
    <w:unhideWhenUsed/>
    <w:qFormat/>
    <w:rsid w:val="000241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0C7"/>
    <w:pPr>
      <w:framePr w:w="7920" w:h="1980" w:hRule="exact" w:hSpace="180" w:wrap="auto" w:hAnchor="page" w:xAlign="center" w:yAlign="bottom"/>
      <w:ind w:left="2880"/>
    </w:pPr>
  </w:style>
  <w:style w:type="table" w:styleId="TableGrid">
    <w:name w:val="Table Grid"/>
    <w:basedOn w:val="TableNormal"/>
    <w:rsid w:val="00E5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2648A"/>
    <w:pPr>
      <w:shd w:val="clear" w:color="auto" w:fill="000080"/>
    </w:pPr>
    <w:rPr>
      <w:rFonts w:cs="Tahoma"/>
      <w:sz w:val="20"/>
      <w:szCs w:val="20"/>
    </w:rPr>
  </w:style>
  <w:style w:type="table" w:styleId="TableColumns5">
    <w:name w:val="Table Columns 5"/>
    <w:basedOn w:val="TableNormal"/>
    <w:rsid w:val="007E34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2Char">
    <w:name w:val="Heading 2 Char"/>
    <w:link w:val="Heading2"/>
    <w:rsid w:val="005C1375"/>
    <w:rPr>
      <w:b/>
      <w:bCs/>
      <w:szCs w:val="24"/>
    </w:rPr>
  </w:style>
  <w:style w:type="character" w:styleId="Hyperlink">
    <w:name w:val="Hyperlink"/>
    <w:rsid w:val="005C1375"/>
    <w:rPr>
      <w:color w:val="660000"/>
      <w:u w:val="single"/>
    </w:rPr>
  </w:style>
  <w:style w:type="paragraph" w:styleId="NormalWeb">
    <w:name w:val="Normal (Web)"/>
    <w:basedOn w:val="Normal"/>
    <w:uiPriority w:val="99"/>
    <w:rsid w:val="005C1375"/>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5C1375"/>
    <w:pPr>
      <w:widowControl w:val="0"/>
      <w:tabs>
        <w:tab w:val="center" w:pos="4320"/>
        <w:tab w:val="right" w:pos="8640"/>
      </w:tabs>
    </w:pPr>
    <w:rPr>
      <w:rFonts w:ascii="CG Times" w:hAnsi="CG Times"/>
      <w:snapToGrid w:val="0"/>
      <w:sz w:val="24"/>
      <w:szCs w:val="20"/>
    </w:rPr>
  </w:style>
  <w:style w:type="character" w:customStyle="1" w:styleId="FooterChar">
    <w:name w:val="Footer Char"/>
    <w:link w:val="Footer"/>
    <w:uiPriority w:val="99"/>
    <w:rsid w:val="005C1375"/>
    <w:rPr>
      <w:rFonts w:ascii="CG Times" w:hAnsi="CG Times"/>
      <w:snapToGrid w:val="0"/>
      <w:sz w:val="24"/>
    </w:rPr>
  </w:style>
  <w:style w:type="paragraph" w:styleId="Header">
    <w:name w:val="header"/>
    <w:basedOn w:val="Normal"/>
    <w:link w:val="HeaderChar"/>
    <w:rsid w:val="005C1375"/>
    <w:pPr>
      <w:tabs>
        <w:tab w:val="center" w:pos="4320"/>
        <w:tab w:val="right" w:pos="8640"/>
      </w:tabs>
    </w:pPr>
    <w:rPr>
      <w:rFonts w:ascii="Times New Roman" w:hAnsi="Times New Roman"/>
      <w:sz w:val="24"/>
      <w:szCs w:val="24"/>
    </w:rPr>
  </w:style>
  <w:style w:type="character" w:customStyle="1" w:styleId="HeaderChar">
    <w:name w:val="Header Char"/>
    <w:link w:val="Header"/>
    <w:rsid w:val="005C1375"/>
    <w:rPr>
      <w:sz w:val="24"/>
      <w:szCs w:val="24"/>
    </w:rPr>
  </w:style>
  <w:style w:type="character" w:styleId="PageNumber">
    <w:name w:val="page number"/>
    <w:basedOn w:val="DefaultParagraphFont"/>
    <w:rsid w:val="005C1375"/>
  </w:style>
  <w:style w:type="character" w:styleId="FollowedHyperlink">
    <w:name w:val="FollowedHyperlink"/>
    <w:basedOn w:val="DefaultParagraphFont"/>
    <w:rsid w:val="000878E3"/>
    <w:rPr>
      <w:color w:val="800080" w:themeColor="followedHyperlink"/>
      <w:u w:val="single"/>
    </w:rPr>
  </w:style>
  <w:style w:type="paragraph" w:styleId="ListParagraph">
    <w:name w:val="List Paragraph"/>
    <w:basedOn w:val="Normal"/>
    <w:uiPriority w:val="34"/>
    <w:qFormat/>
    <w:rsid w:val="00B97E06"/>
    <w:pPr>
      <w:ind w:left="720"/>
      <w:contextualSpacing/>
    </w:pPr>
  </w:style>
  <w:style w:type="paragraph" w:styleId="BalloonText">
    <w:name w:val="Balloon Text"/>
    <w:basedOn w:val="Normal"/>
    <w:link w:val="BalloonTextChar"/>
    <w:rsid w:val="00763D99"/>
    <w:rPr>
      <w:rFonts w:cs="Tahoma"/>
      <w:sz w:val="16"/>
      <w:szCs w:val="16"/>
    </w:rPr>
  </w:style>
  <w:style w:type="character" w:customStyle="1" w:styleId="BalloonTextChar">
    <w:name w:val="Balloon Text Char"/>
    <w:basedOn w:val="DefaultParagraphFont"/>
    <w:link w:val="BalloonText"/>
    <w:rsid w:val="00763D99"/>
    <w:rPr>
      <w:rFonts w:ascii="Tahoma" w:hAnsi="Tahoma" w:cs="Tahoma"/>
      <w:sz w:val="16"/>
      <w:szCs w:val="16"/>
    </w:rPr>
  </w:style>
  <w:style w:type="character" w:styleId="PlaceholderText">
    <w:name w:val="Placeholder Text"/>
    <w:basedOn w:val="DefaultParagraphFont"/>
    <w:uiPriority w:val="99"/>
    <w:semiHidden/>
    <w:rsid w:val="00BB0CFE"/>
    <w:rPr>
      <w:color w:val="808080"/>
    </w:rPr>
  </w:style>
  <w:style w:type="character" w:customStyle="1" w:styleId="sectionhead1">
    <w:name w:val="sectionhead1"/>
    <w:basedOn w:val="DefaultParagraphFont"/>
    <w:rsid w:val="00FB797F"/>
    <w:rPr>
      <w:rFonts w:ascii="Verdana" w:hAnsi="Verdana" w:hint="default"/>
      <w:b/>
      <w:bCs/>
      <w:caps/>
      <w:sz w:val="18"/>
      <w:szCs w:val="18"/>
    </w:rPr>
  </w:style>
  <w:style w:type="character" w:customStyle="1" w:styleId="Heading3Char">
    <w:name w:val="Heading 3 Char"/>
    <w:basedOn w:val="DefaultParagraphFont"/>
    <w:link w:val="Heading3"/>
    <w:semiHidden/>
    <w:rsid w:val="00024125"/>
    <w:rPr>
      <w:rFonts w:asciiTheme="majorHAnsi" w:eastAsiaTheme="majorEastAsia" w:hAnsiTheme="majorHAnsi" w:cstheme="majorBidi"/>
      <w:color w:val="243F60" w:themeColor="accent1" w:themeShade="7F"/>
      <w:sz w:val="24"/>
      <w:szCs w:val="24"/>
    </w:rPr>
  </w:style>
  <w:style w:type="paragraph" w:customStyle="1" w:styleId="updated">
    <w:name w:val="updated"/>
    <w:basedOn w:val="Normal"/>
    <w:rsid w:val="00024125"/>
    <w:pPr>
      <w:spacing w:before="100" w:beforeAutospacing="1" w:after="100" w:afterAutospacing="1"/>
    </w:pPr>
    <w:rPr>
      <w:rFonts w:ascii="Times New Roman" w:hAnsi="Times New Roman"/>
      <w:sz w:val="24"/>
      <w:szCs w:val="24"/>
      <w:lang w:eastAsia="zh-CN"/>
    </w:rPr>
  </w:style>
  <w:style w:type="paragraph" w:customStyle="1" w:styleId="fp">
    <w:name w:val="fp"/>
    <w:basedOn w:val="Normal"/>
    <w:rsid w:val="00024125"/>
    <w:pPr>
      <w:spacing w:before="100" w:beforeAutospacing="1" w:after="100" w:afterAutospacing="1"/>
    </w:pPr>
    <w:rPr>
      <w:rFonts w:ascii="Times New Roman" w:hAnsi="Times New Roman"/>
      <w:sz w:val="24"/>
      <w:szCs w:val="24"/>
      <w:lang w:eastAsia="zh-CN"/>
    </w:rPr>
  </w:style>
  <w:style w:type="character" w:customStyle="1" w:styleId="UnresolvedMention">
    <w:name w:val="Unresolved Mention"/>
    <w:basedOn w:val="DefaultParagraphFont"/>
    <w:rsid w:val="00024125"/>
    <w:rPr>
      <w:color w:val="605E5C"/>
      <w:shd w:val="clear" w:color="auto" w:fill="E1DFDD"/>
    </w:rPr>
  </w:style>
  <w:style w:type="table" w:customStyle="1" w:styleId="TableGrid1">
    <w:name w:val="Table Grid1"/>
    <w:basedOn w:val="TableNormal"/>
    <w:next w:val="TableGrid"/>
    <w:uiPriority w:val="39"/>
    <w:rsid w:val="002829A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76915">
      <w:bodyDiv w:val="1"/>
      <w:marLeft w:val="0"/>
      <w:marRight w:val="0"/>
      <w:marTop w:val="0"/>
      <w:marBottom w:val="0"/>
      <w:divBdr>
        <w:top w:val="none" w:sz="0" w:space="0" w:color="auto"/>
        <w:left w:val="none" w:sz="0" w:space="0" w:color="auto"/>
        <w:bottom w:val="none" w:sz="0" w:space="0" w:color="auto"/>
        <w:right w:val="none" w:sz="0" w:space="0" w:color="auto"/>
      </w:divBdr>
    </w:div>
    <w:div w:id="2121336584">
      <w:bodyDiv w:val="1"/>
      <w:marLeft w:val="0"/>
      <w:marRight w:val="0"/>
      <w:marTop w:val="0"/>
      <w:marBottom w:val="0"/>
      <w:divBdr>
        <w:top w:val="none" w:sz="0" w:space="0" w:color="auto"/>
        <w:left w:val="none" w:sz="0" w:space="0" w:color="auto"/>
        <w:bottom w:val="none" w:sz="0" w:space="0" w:color="auto"/>
        <w:right w:val="none" w:sz="0" w:space="0" w:color="auto"/>
      </w:divBdr>
      <w:divsChild>
        <w:div w:id="1401634373">
          <w:marLeft w:val="0"/>
          <w:marRight w:val="0"/>
          <w:marTop w:val="0"/>
          <w:marBottom w:val="0"/>
          <w:divBdr>
            <w:top w:val="single" w:sz="6" w:space="0" w:color="FFFFFF"/>
            <w:left w:val="single" w:sz="6" w:space="0" w:color="FFFFFF"/>
            <w:bottom w:val="single" w:sz="6" w:space="19" w:color="FFFFFF"/>
            <w:right w:val="single" w:sz="6" w:space="0" w:color="FFFFFF"/>
          </w:divBdr>
          <w:divsChild>
            <w:div w:id="1321689731">
              <w:marLeft w:val="0"/>
              <w:marRight w:val="0"/>
              <w:marTop w:val="0"/>
              <w:marBottom w:val="0"/>
              <w:divBdr>
                <w:top w:val="none" w:sz="0" w:space="0" w:color="auto"/>
                <w:left w:val="none" w:sz="0" w:space="0" w:color="auto"/>
                <w:bottom w:val="none" w:sz="0" w:space="0" w:color="auto"/>
                <w:right w:val="none" w:sz="0" w:space="0" w:color="auto"/>
              </w:divBdr>
              <w:divsChild>
                <w:div w:id="3012796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PRVsvKsPrM&amp;feature=youtu.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retrieveECFR?gp=&amp;SID=b19da247520d4163d09a2ca47ab0032f&amp;mc=true&amp;n=pt45.1.46&amp;r=PART&amp;ty=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28DD35D74AD44BC15E613B33A34EF" ma:contentTypeVersion="0" ma:contentTypeDescription="Create a new document." ma:contentTypeScope="" ma:versionID="b214b9c947ad11a392ea59ec879ae5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5B54-1605-4966-85CD-BC0CAC80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9E1C9D-1D3B-42E8-926F-B7A766BCE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75D6F-64E7-418F-9954-4BB7EF618327}">
  <ds:schemaRefs>
    <ds:schemaRef ds:uri="http://schemas.microsoft.com/sharepoint/v3/contenttype/forms"/>
  </ds:schemaRefs>
</ds:datastoreItem>
</file>

<file path=customXml/itemProps4.xml><?xml version="1.0" encoding="utf-8"?>
<ds:datastoreItem xmlns:ds="http://schemas.openxmlformats.org/officeDocument/2006/customXml" ds:itemID="{2A1F9B5E-D0DC-47B0-AA59-306425D9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Absence Report – Full Time Faculty</vt:lpstr>
    </vt:vector>
  </TitlesOfParts>
  <Company>Bellevue Community College</Company>
  <LinksUpToDate>false</LinksUpToDate>
  <CharactersWithSpaces>13517</CharactersWithSpaces>
  <SharedDoc>false</SharedDoc>
  <HLinks>
    <vt:vector size="6" baseType="variant">
      <vt:variant>
        <vt:i4>720979</vt:i4>
      </vt:variant>
      <vt:variant>
        <vt:i4>60</vt:i4>
      </vt:variant>
      <vt:variant>
        <vt:i4>0</vt:i4>
      </vt:variant>
      <vt:variant>
        <vt:i4>5</vt:i4>
      </vt:variant>
      <vt:variant>
        <vt:lpwstr>http://bellevuecollege.edu/irb/exemptions.asp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Report – Full Time Faculty</dc:title>
  <dc:creator>Computing Services</dc:creator>
  <cp:lastModifiedBy>Windows User</cp:lastModifiedBy>
  <cp:revision>2</cp:revision>
  <cp:lastPrinted>2017-09-18T11:18:00Z</cp:lastPrinted>
  <dcterms:created xsi:type="dcterms:W3CDTF">2019-02-06T17:32:00Z</dcterms:created>
  <dcterms:modified xsi:type="dcterms:W3CDTF">2019-02-06T17:32:00Z</dcterms:modified>
</cp:coreProperties>
</file>